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6115" w:rsidRDefault="00CF6115"/>
    <w:p w:rsidR="00025F8F" w:rsidRDefault="00025F8F" w:rsidP="00025F8F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025F8F" w:rsidRDefault="00025F8F" w:rsidP="00025F8F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数字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艺术设计赛项评分标准</w:t>
      </w:r>
    </w:p>
    <w:p w:rsidR="00025F8F" w:rsidRPr="00025F8F" w:rsidRDefault="00025F8F" w:rsidP="00025F8F">
      <w:pPr>
        <w:pStyle w:val="a0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1192"/>
        <w:gridCol w:w="567"/>
        <w:gridCol w:w="4678"/>
        <w:gridCol w:w="1349"/>
      </w:tblGrid>
      <w:tr w:rsidR="00025F8F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/>
        </w:trPr>
        <w:tc>
          <w:tcPr>
            <w:tcW w:w="504" w:type="dxa"/>
            <w:shd w:val="clear" w:color="auto" w:fill="auto"/>
            <w:vAlign w:val="center"/>
          </w:tcPr>
          <w:p w:rsidR="00025F8F" w:rsidRDefault="00025F8F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序号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25F8F" w:rsidRDefault="00025F8F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名称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5F8F" w:rsidRDefault="00025F8F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占比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25F8F" w:rsidRDefault="00025F8F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评分原则</w:t>
            </w:r>
          </w:p>
        </w:tc>
        <w:tc>
          <w:tcPr>
            <w:tcW w:w="1349" w:type="dxa"/>
            <w:vAlign w:val="center"/>
          </w:tcPr>
          <w:p w:rsidR="00025F8F" w:rsidRDefault="00025F8F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分值</w:t>
            </w:r>
          </w:p>
        </w:tc>
      </w:tr>
      <w:tr w:rsidR="0093717A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/>
        </w:trPr>
        <w:tc>
          <w:tcPr>
            <w:tcW w:w="504" w:type="dxa"/>
            <w:vMerge w:val="restart"/>
            <w:shd w:val="clear" w:color="auto" w:fill="auto"/>
            <w:vAlign w:val="center"/>
          </w:tcPr>
          <w:p w:rsidR="0093717A" w:rsidRDefault="0093717A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数字创意绘画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25%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设计构思、角色、场景、道具，氛围等</w:t>
            </w:r>
            <w:r>
              <w:rPr>
                <w:rFonts w:ascii="仿宋" w:eastAsia="仿宋" w:hAnsi="仿宋" w:hint="eastAsia"/>
              </w:rPr>
              <w:t>符合赛题要求</w:t>
            </w:r>
          </w:p>
        </w:tc>
        <w:tc>
          <w:tcPr>
            <w:tcW w:w="1349" w:type="dxa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/>
              </w:rPr>
              <w:t>0</w:t>
            </w:r>
          </w:p>
        </w:tc>
      </w:tr>
      <w:tr w:rsidR="0093717A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504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整体画面视觉效果统一和谐</w:t>
            </w:r>
          </w:p>
        </w:tc>
        <w:tc>
          <w:tcPr>
            <w:tcW w:w="1349" w:type="dxa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/>
              </w:rPr>
              <w:t>0</w:t>
            </w:r>
          </w:p>
        </w:tc>
      </w:tr>
      <w:tr w:rsidR="0093717A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/>
        </w:trPr>
        <w:tc>
          <w:tcPr>
            <w:tcW w:w="504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重要元素的主次设计关系</w:t>
            </w:r>
            <w:r>
              <w:rPr>
                <w:rFonts w:ascii="仿宋" w:eastAsia="仿宋" w:hAnsi="仿宋" w:hint="eastAsia"/>
              </w:rPr>
              <w:t>突出</w:t>
            </w:r>
          </w:p>
        </w:tc>
        <w:tc>
          <w:tcPr>
            <w:tcW w:w="1349" w:type="dxa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/>
              </w:rPr>
              <w:t>0</w:t>
            </w:r>
          </w:p>
        </w:tc>
      </w:tr>
      <w:tr w:rsidR="0093717A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/>
        </w:trPr>
        <w:tc>
          <w:tcPr>
            <w:tcW w:w="504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细节</w:t>
            </w:r>
            <w:r>
              <w:rPr>
                <w:rFonts w:ascii="仿宋" w:eastAsia="仿宋" w:hAnsi="仿宋" w:hint="eastAsia"/>
              </w:rPr>
              <w:t>绘制精致合理</w:t>
            </w:r>
          </w:p>
        </w:tc>
        <w:tc>
          <w:tcPr>
            <w:tcW w:w="1349" w:type="dxa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/>
              </w:rPr>
              <w:t>0</w:t>
            </w:r>
          </w:p>
        </w:tc>
      </w:tr>
      <w:tr w:rsidR="0093717A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504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色彩平衡</w:t>
            </w:r>
            <w:r>
              <w:rPr>
                <w:rFonts w:ascii="仿宋" w:eastAsia="仿宋" w:hAnsi="仿宋" w:hint="eastAsia"/>
              </w:rPr>
              <w:t>适宜、</w:t>
            </w:r>
            <w:r>
              <w:rPr>
                <w:rFonts w:ascii="仿宋" w:eastAsia="仿宋" w:hAnsi="仿宋" w:hint="eastAsia"/>
              </w:rPr>
              <w:t>整体构图</w:t>
            </w:r>
            <w:r>
              <w:rPr>
                <w:rFonts w:ascii="仿宋" w:eastAsia="仿宋" w:hAnsi="仿宋" w:hint="eastAsia"/>
              </w:rPr>
              <w:t>合理</w:t>
            </w:r>
          </w:p>
        </w:tc>
        <w:tc>
          <w:tcPr>
            <w:tcW w:w="1349" w:type="dxa"/>
            <w:vAlign w:val="center"/>
          </w:tcPr>
          <w:p w:rsidR="0093717A" w:rsidRDefault="0093717A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/>
              </w:rPr>
              <w:t>0</w:t>
            </w:r>
          </w:p>
        </w:tc>
      </w:tr>
      <w:tr w:rsidR="003D5665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/>
        </w:trPr>
        <w:tc>
          <w:tcPr>
            <w:tcW w:w="504" w:type="dxa"/>
            <w:vMerge w:val="restart"/>
            <w:shd w:val="clear" w:color="auto" w:fill="auto"/>
            <w:vAlign w:val="center"/>
          </w:tcPr>
          <w:p w:rsidR="003D5665" w:rsidRDefault="003D5665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数字建模设计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35%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三维模型还原度</w:t>
            </w:r>
            <w:r w:rsidR="00962240">
              <w:rPr>
                <w:rFonts w:ascii="仿宋" w:eastAsia="仿宋" w:hAnsi="仿宋" w:hint="eastAsia"/>
              </w:rPr>
              <w:t>、</w:t>
            </w:r>
            <w:r w:rsidR="00962240">
              <w:rPr>
                <w:rFonts w:ascii="仿宋" w:eastAsia="仿宋" w:hAnsi="仿宋" w:hint="eastAsia"/>
              </w:rPr>
              <w:t>模型外形、结构、比例效果</w:t>
            </w:r>
          </w:p>
        </w:tc>
        <w:tc>
          <w:tcPr>
            <w:tcW w:w="1349" w:type="dxa"/>
            <w:vAlign w:val="center"/>
          </w:tcPr>
          <w:p w:rsidR="003D5665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50</w:t>
            </w:r>
          </w:p>
        </w:tc>
      </w:tr>
      <w:tr w:rsidR="00962240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/>
        </w:trPr>
        <w:tc>
          <w:tcPr>
            <w:tcW w:w="504" w:type="dxa"/>
            <w:vMerge/>
            <w:shd w:val="clear" w:color="auto" w:fill="auto"/>
            <w:vAlign w:val="center"/>
          </w:tcPr>
          <w:p w:rsidR="00962240" w:rsidRDefault="00962240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布线、UV、面数</w:t>
            </w:r>
          </w:p>
        </w:tc>
        <w:tc>
          <w:tcPr>
            <w:tcW w:w="1349" w:type="dxa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20</w:t>
            </w:r>
          </w:p>
        </w:tc>
      </w:tr>
      <w:tr w:rsidR="00962240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/>
        </w:trPr>
        <w:tc>
          <w:tcPr>
            <w:tcW w:w="504" w:type="dxa"/>
            <w:vMerge/>
            <w:shd w:val="clear" w:color="auto" w:fill="auto"/>
            <w:vAlign w:val="center"/>
          </w:tcPr>
          <w:p w:rsidR="00962240" w:rsidRDefault="00962240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贴图的色彩、质感、细节</w:t>
            </w:r>
            <w:r w:rsidR="009C3DA6">
              <w:rPr>
                <w:rFonts w:ascii="仿宋" w:eastAsia="仿宋" w:hAnsi="仿宋" w:hint="eastAsia"/>
              </w:rPr>
              <w:t>效果</w:t>
            </w:r>
          </w:p>
        </w:tc>
        <w:tc>
          <w:tcPr>
            <w:tcW w:w="1349" w:type="dxa"/>
            <w:vAlign w:val="center"/>
          </w:tcPr>
          <w:p w:rsidR="00962240" w:rsidRDefault="009C3DA6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20</w:t>
            </w:r>
          </w:p>
        </w:tc>
      </w:tr>
      <w:tr w:rsidR="00962240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/>
        </w:trPr>
        <w:tc>
          <w:tcPr>
            <w:tcW w:w="504" w:type="dxa"/>
            <w:vMerge/>
            <w:shd w:val="clear" w:color="auto" w:fill="auto"/>
            <w:vAlign w:val="center"/>
          </w:tcPr>
          <w:p w:rsidR="00962240" w:rsidRDefault="00962240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62240" w:rsidRDefault="009C3DA6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透视图</w:t>
            </w:r>
            <w:r w:rsidR="00962240">
              <w:rPr>
                <w:rFonts w:ascii="仿宋" w:eastAsia="仿宋" w:hAnsi="仿宋" w:hint="eastAsia"/>
              </w:rPr>
              <w:t>呈现</w:t>
            </w:r>
          </w:p>
        </w:tc>
        <w:tc>
          <w:tcPr>
            <w:tcW w:w="1349" w:type="dxa"/>
            <w:vAlign w:val="center"/>
          </w:tcPr>
          <w:p w:rsidR="00962240" w:rsidRDefault="00962240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/>
              </w:rPr>
              <w:t>0</w:t>
            </w:r>
          </w:p>
        </w:tc>
      </w:tr>
      <w:tr w:rsidR="003D5665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504" w:type="dxa"/>
            <w:vMerge w:val="restart"/>
            <w:shd w:val="clear" w:color="auto" w:fill="auto"/>
            <w:vAlign w:val="center"/>
          </w:tcPr>
          <w:p w:rsidR="003D5665" w:rsidRDefault="003D5665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数字交互展示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35%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C3DA6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紧扣竞赛</w:t>
            </w:r>
            <w:r w:rsidR="0093717A">
              <w:rPr>
                <w:rFonts w:ascii="仿宋" w:eastAsia="仿宋" w:hAnsi="仿宋" w:hint="eastAsia"/>
              </w:rPr>
              <w:t>任务描述</w:t>
            </w:r>
          </w:p>
        </w:tc>
        <w:tc>
          <w:tcPr>
            <w:tcW w:w="1349" w:type="dxa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20</w:t>
            </w:r>
          </w:p>
        </w:tc>
      </w:tr>
      <w:tr w:rsidR="003D5665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/>
        </w:trPr>
        <w:tc>
          <w:tcPr>
            <w:tcW w:w="504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数字场景</w:t>
            </w:r>
            <w:r>
              <w:rPr>
                <w:rFonts w:ascii="仿宋" w:eastAsia="仿宋" w:hAnsi="仿宋" w:hint="eastAsia"/>
              </w:rPr>
              <w:t>创意设计</w:t>
            </w:r>
          </w:p>
        </w:tc>
        <w:tc>
          <w:tcPr>
            <w:tcW w:w="1349" w:type="dxa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/>
              </w:rPr>
              <w:t>0</w:t>
            </w:r>
          </w:p>
        </w:tc>
      </w:tr>
      <w:tr w:rsidR="003D5665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/>
        </w:trPr>
        <w:tc>
          <w:tcPr>
            <w:tcW w:w="504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灯光渲染</w:t>
            </w:r>
            <w:r>
              <w:rPr>
                <w:rFonts w:ascii="仿宋" w:eastAsia="仿宋" w:hAnsi="仿宋" w:hint="eastAsia"/>
              </w:rPr>
              <w:t>与特效</w:t>
            </w:r>
          </w:p>
        </w:tc>
        <w:tc>
          <w:tcPr>
            <w:tcW w:w="1349" w:type="dxa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20</w:t>
            </w:r>
          </w:p>
        </w:tc>
      </w:tr>
      <w:tr w:rsidR="003D5665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/>
        </w:trPr>
        <w:tc>
          <w:tcPr>
            <w:tcW w:w="504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交互</w:t>
            </w:r>
            <w:r>
              <w:rPr>
                <w:rFonts w:ascii="仿宋" w:eastAsia="仿宋" w:hAnsi="仿宋" w:hint="eastAsia"/>
              </w:rPr>
              <w:t>效果</w:t>
            </w:r>
          </w:p>
        </w:tc>
        <w:tc>
          <w:tcPr>
            <w:tcW w:w="1349" w:type="dxa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20</w:t>
            </w:r>
          </w:p>
        </w:tc>
      </w:tr>
      <w:tr w:rsidR="003D5665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504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动画视频</w:t>
            </w:r>
            <w:r>
              <w:rPr>
                <w:rFonts w:ascii="仿宋" w:eastAsia="仿宋" w:hAnsi="仿宋" w:hint="eastAsia"/>
              </w:rPr>
              <w:t>效果</w:t>
            </w:r>
          </w:p>
        </w:tc>
        <w:tc>
          <w:tcPr>
            <w:tcW w:w="1349" w:type="dxa"/>
            <w:vAlign w:val="center"/>
          </w:tcPr>
          <w:p w:rsidR="003D5665" w:rsidRDefault="003D5665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>20</w:t>
            </w:r>
          </w:p>
        </w:tc>
      </w:tr>
      <w:tr w:rsidR="00025F8F" w:rsidTr="009C3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/>
        </w:trPr>
        <w:tc>
          <w:tcPr>
            <w:tcW w:w="504" w:type="dxa"/>
            <w:shd w:val="clear" w:color="auto" w:fill="auto"/>
            <w:vAlign w:val="center"/>
          </w:tcPr>
          <w:p w:rsidR="00025F8F" w:rsidRDefault="00025F8F" w:rsidP="009C3DA6">
            <w:pPr>
              <w:pStyle w:val="a0"/>
              <w:spacing w:after="0"/>
              <w:jc w:val="center"/>
              <w:rPr>
                <w:rFonts w:ascii="仿宋" w:eastAsia="仿宋" w:hAnsi="仿宋" w:cs="宋体" w:hint="eastAsia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4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25F8F" w:rsidRDefault="00025F8F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职业素养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5F8F" w:rsidRDefault="00025F8F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5%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25F8F" w:rsidRDefault="00025F8F" w:rsidP="009C3DA6">
            <w:pPr>
              <w:pStyle w:val="af0"/>
              <w:shd w:val="clear" w:color="auto" w:fill="FFFFFF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考核参赛选手在职业规范、团队协作、组织管理、工作计划、团队风貌等方面的职业素养。</w:t>
            </w:r>
          </w:p>
        </w:tc>
        <w:tc>
          <w:tcPr>
            <w:tcW w:w="1349" w:type="dxa"/>
            <w:vAlign w:val="center"/>
          </w:tcPr>
          <w:p w:rsidR="00025F8F" w:rsidRDefault="003D5665" w:rsidP="009C3DA6">
            <w:pPr>
              <w:pStyle w:val="af0"/>
              <w:spacing w:after="0" w:afterAutospacing="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/>
              </w:rPr>
              <w:t>00</w:t>
            </w:r>
          </w:p>
        </w:tc>
      </w:tr>
    </w:tbl>
    <w:p w:rsidR="00025F8F" w:rsidRPr="00025F8F" w:rsidRDefault="00025F8F">
      <w:pPr>
        <w:rPr>
          <w:rFonts w:hint="eastAsia"/>
        </w:rPr>
      </w:pPr>
    </w:p>
    <w:sectPr w:rsidR="00025F8F" w:rsidRPr="00025F8F" w:rsidSect="009C15A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8F"/>
    <w:rsid w:val="00025F8F"/>
    <w:rsid w:val="00036284"/>
    <w:rsid w:val="003C2164"/>
    <w:rsid w:val="003D5665"/>
    <w:rsid w:val="00863035"/>
    <w:rsid w:val="0093717A"/>
    <w:rsid w:val="00962240"/>
    <w:rsid w:val="009C15A0"/>
    <w:rsid w:val="009C3DA6"/>
    <w:rsid w:val="00BE20F0"/>
    <w:rsid w:val="00CF6115"/>
    <w:rsid w:val="00DA228D"/>
    <w:rsid w:val="00FB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A448D"/>
  <w15:chartTrackingRefBased/>
  <w15:docId w15:val="{E78D8648-10D8-F24C-8862-6B82940C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025F8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25F8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F8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F8F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F8F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F8F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F8F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F8F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F8F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025F8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025F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025F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025F8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025F8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025F8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025F8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025F8F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025F8F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025F8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025F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25F8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025F8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25F8F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025F8F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025F8F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Intense Emphasis"/>
    <w:basedOn w:val="a1"/>
    <w:uiPriority w:val="21"/>
    <w:qFormat/>
    <w:rsid w:val="00025F8F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25F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025F8F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025F8F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025F8F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025F8F"/>
    <w:rPr>
      <w:rFonts w:ascii="Calibri" w:eastAsia="宋体" w:hAnsi="Calibri" w:cs="Times New Roman"/>
    </w:rPr>
  </w:style>
  <w:style w:type="paragraph" w:styleId="af0">
    <w:name w:val="Normal (Web)"/>
    <w:basedOn w:val="a"/>
    <w:uiPriority w:val="99"/>
    <w:unhideWhenUsed/>
    <w:rsid w:val="00025F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2024-09-08T04:58:00Z</dcterms:created>
  <dcterms:modified xsi:type="dcterms:W3CDTF">2024-09-08T11:26:00Z</dcterms:modified>
</cp:coreProperties>
</file>