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7DC92">
      <w:pPr>
        <w:pStyle w:val="5"/>
        <w:keepNext w:val="0"/>
        <w:keepLines w:val="0"/>
        <w:pageBreakBefore w:val="0"/>
        <w:widowControl/>
        <w:wordWrap/>
        <w:overflowPunct/>
        <w:topLinePunct w:val="0"/>
        <w:bidi w:val="0"/>
        <w:spacing w:line="360" w:lineRule="auto"/>
        <w:ind w:left="0" w:leftChars="0" w:right="0" w:rightChars="0" w:firstLine="420" w:firstLineChars="200"/>
      </w:pPr>
    </w:p>
    <w:p w14:paraId="0427DBCC">
      <w:pPr>
        <w:pStyle w:val="5"/>
        <w:keepNext w:val="0"/>
        <w:keepLines w:val="0"/>
        <w:pageBreakBefore w:val="0"/>
        <w:widowControl/>
        <w:wordWrap/>
        <w:overflowPunct/>
        <w:topLinePunct w:val="0"/>
        <w:bidi w:val="0"/>
        <w:spacing w:line="360" w:lineRule="auto"/>
        <w:ind w:left="0" w:leftChars="0" w:right="0" w:rightChars="0" w:firstLine="420" w:firstLineChars="200"/>
      </w:pPr>
    </w:p>
    <w:p w14:paraId="7485A67B">
      <w:pPr>
        <w:pStyle w:val="5"/>
        <w:keepNext w:val="0"/>
        <w:keepLines w:val="0"/>
        <w:pageBreakBefore w:val="0"/>
        <w:widowControl/>
        <w:wordWrap/>
        <w:overflowPunct/>
        <w:topLinePunct w:val="0"/>
        <w:bidi w:val="0"/>
        <w:spacing w:line="360" w:lineRule="auto"/>
        <w:ind w:left="0" w:leftChars="0" w:right="0" w:rightChars="0" w:firstLine="420" w:firstLineChars="200"/>
      </w:pPr>
    </w:p>
    <w:p w14:paraId="62F6AD07">
      <w:pPr>
        <w:pStyle w:val="5"/>
        <w:keepNext w:val="0"/>
        <w:keepLines w:val="0"/>
        <w:pageBreakBefore w:val="0"/>
        <w:widowControl/>
        <w:wordWrap/>
        <w:overflowPunct/>
        <w:topLinePunct w:val="0"/>
        <w:bidi w:val="0"/>
        <w:spacing w:line="360" w:lineRule="auto"/>
        <w:ind w:left="0" w:leftChars="0" w:right="0" w:rightChars="0" w:firstLine="420" w:firstLineChars="200"/>
      </w:pPr>
    </w:p>
    <w:p w14:paraId="397A291E">
      <w:pPr>
        <w:pStyle w:val="5"/>
        <w:keepNext w:val="0"/>
        <w:keepLines w:val="0"/>
        <w:pageBreakBefore w:val="0"/>
        <w:widowControl/>
        <w:wordWrap/>
        <w:overflowPunct/>
        <w:topLinePunct w:val="0"/>
        <w:bidi w:val="0"/>
        <w:spacing w:line="360" w:lineRule="auto"/>
        <w:ind w:left="0" w:leftChars="0" w:right="0" w:rightChars="0" w:firstLine="420" w:firstLineChars="200"/>
      </w:pPr>
    </w:p>
    <w:p w14:paraId="6A22C76D">
      <w:pPr>
        <w:pStyle w:val="5"/>
        <w:keepNext w:val="0"/>
        <w:keepLines w:val="0"/>
        <w:pageBreakBefore w:val="0"/>
        <w:widowControl/>
        <w:wordWrap/>
        <w:overflowPunct/>
        <w:topLinePunct w:val="0"/>
        <w:bidi w:val="0"/>
        <w:spacing w:line="360" w:lineRule="auto"/>
        <w:ind w:left="0" w:leftChars="0" w:right="0" w:rightChars="0" w:firstLine="420" w:firstLineChars="200"/>
      </w:pPr>
    </w:p>
    <w:p w14:paraId="404BC155">
      <w:pPr>
        <w:pStyle w:val="5"/>
        <w:keepNext w:val="0"/>
        <w:keepLines w:val="0"/>
        <w:pageBreakBefore w:val="0"/>
        <w:widowControl/>
        <w:wordWrap/>
        <w:overflowPunct/>
        <w:topLinePunct w:val="0"/>
        <w:bidi w:val="0"/>
        <w:spacing w:line="360" w:lineRule="auto"/>
        <w:ind w:left="0" w:leftChars="0" w:right="0" w:rightChars="0" w:firstLine="420" w:firstLineChars="200"/>
      </w:pPr>
    </w:p>
    <w:p w14:paraId="2D5E36AD">
      <w:pPr>
        <w:pStyle w:val="5"/>
        <w:keepNext w:val="0"/>
        <w:keepLines w:val="0"/>
        <w:pageBreakBefore w:val="0"/>
        <w:widowControl/>
        <w:wordWrap/>
        <w:overflowPunct/>
        <w:topLinePunct w:val="0"/>
        <w:bidi w:val="0"/>
        <w:spacing w:line="360" w:lineRule="auto"/>
        <w:ind w:left="0" w:leftChars="0" w:right="0" w:rightChars="0" w:firstLine="420" w:firstLineChars="200"/>
      </w:pPr>
    </w:p>
    <w:p w14:paraId="04D58099">
      <w:pPr>
        <w:spacing w:before="197" w:line="186" w:lineRule="auto"/>
        <w:ind w:left="104"/>
        <w:outlineLvl w:val="0"/>
        <w:rPr>
          <w:rFonts w:ascii="微软雅黑" w:hAnsi="微软雅黑" w:eastAsia="微软雅黑" w:cs="微软雅黑"/>
          <w:sz w:val="46"/>
          <w:szCs w:val="46"/>
        </w:rPr>
      </w:pPr>
      <w:r>
        <w:rPr>
          <w:rFonts w:ascii="微软雅黑" w:hAnsi="微软雅黑" w:eastAsia="微软雅黑" w:cs="微软雅黑"/>
          <w:b/>
          <w:bCs/>
          <w:spacing w:val="26"/>
          <w:sz w:val="46"/>
          <w:szCs w:val="46"/>
        </w:rPr>
        <w:t>沈阳现代化都市圈职业院校技能大赛</w:t>
      </w:r>
    </w:p>
    <w:p w14:paraId="4E542310">
      <w:pPr>
        <w:spacing w:before="171" w:line="185" w:lineRule="auto"/>
        <w:ind w:left="3045"/>
        <w:rPr>
          <w:rFonts w:ascii="微软雅黑" w:hAnsi="微软雅黑" w:eastAsia="微软雅黑" w:cs="微软雅黑"/>
          <w:sz w:val="46"/>
          <w:szCs w:val="46"/>
        </w:rPr>
      </w:pPr>
      <w:r>
        <w:rPr>
          <w:rFonts w:ascii="微软雅黑" w:hAnsi="微软雅黑" w:eastAsia="微软雅黑" w:cs="微软雅黑"/>
          <w:b/>
          <w:bCs/>
          <w:spacing w:val="18"/>
          <w:sz w:val="46"/>
          <w:szCs w:val="46"/>
        </w:rPr>
        <w:t>赛项规程</w:t>
      </w:r>
    </w:p>
    <w:p w14:paraId="561CC95D">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3795FF27">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253A923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558C0F77">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40E5347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2C489994">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717B4EF9">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0138F525">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7AB734F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287FB45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2E312C9D">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43A993C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22E8AC84">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4196F7A0">
      <w:pPr>
        <w:keepNext w:val="0"/>
        <w:keepLines w:val="0"/>
        <w:pageBreakBefore w:val="0"/>
        <w:wordWrap/>
        <w:overflowPunct/>
        <w:topLinePunct w:val="0"/>
        <w:bidi w:val="0"/>
        <w:spacing w:line="360" w:lineRule="auto"/>
        <w:ind w:left="0" w:leftChars="0" w:right="0" w:rightChars="0" w:firstLine="664" w:firstLineChars="200"/>
        <w:rPr>
          <w:rFonts w:hint="default" w:ascii="黑体" w:hAnsi="黑体" w:eastAsia="黑体" w:cs="黑体"/>
          <w:spacing w:val="16"/>
          <w:sz w:val="30"/>
          <w:szCs w:val="30"/>
          <w:u w:val="single"/>
          <w:lang w:val="en-US" w:eastAsia="zh-CN"/>
        </w:rPr>
      </w:pPr>
      <w:r>
        <w:rPr>
          <w:rFonts w:ascii="黑体" w:hAnsi="黑体" w:eastAsia="黑体" w:cs="黑体"/>
          <w:spacing w:val="16"/>
          <w:sz w:val="30"/>
          <w:szCs w:val="30"/>
        </w:rPr>
        <w:t>赛项名称：</w:t>
      </w:r>
      <w:r>
        <w:rPr>
          <w:rFonts w:hint="eastAsia" w:ascii="黑体" w:hAnsi="黑体" w:eastAsia="黑体" w:cs="黑体"/>
          <w:spacing w:val="16"/>
          <w:sz w:val="30"/>
          <w:szCs w:val="30"/>
          <w:u w:val="single"/>
          <w:lang w:val="en-US" w:eastAsia="zh-CN"/>
        </w:rPr>
        <w:t xml:space="preserve">        直播电商          </w:t>
      </w:r>
    </w:p>
    <w:p w14:paraId="7600AD71">
      <w:pPr>
        <w:keepNext w:val="0"/>
        <w:keepLines w:val="0"/>
        <w:pageBreakBefore w:val="0"/>
        <w:wordWrap/>
        <w:overflowPunct/>
        <w:topLinePunct w:val="0"/>
        <w:bidi w:val="0"/>
        <w:spacing w:line="360" w:lineRule="auto"/>
        <w:ind w:left="0" w:leftChars="0" w:right="0" w:rightChars="0" w:firstLine="664" w:firstLineChars="200"/>
        <w:rPr>
          <w:rFonts w:hint="default" w:ascii="黑体" w:hAnsi="黑体" w:eastAsia="黑体" w:cs="黑体"/>
          <w:spacing w:val="16"/>
          <w:sz w:val="30"/>
          <w:szCs w:val="30"/>
          <w:u w:val="single"/>
          <w:lang w:val="en-US" w:eastAsia="zh-CN"/>
        </w:rPr>
      </w:pPr>
      <w:r>
        <w:rPr>
          <w:rFonts w:ascii="黑体" w:hAnsi="黑体" w:eastAsia="黑体" w:cs="黑体"/>
          <w:spacing w:val="16"/>
          <w:sz w:val="30"/>
          <w:szCs w:val="30"/>
        </w:rPr>
        <w:t>英文名称</w:t>
      </w:r>
      <w:r>
        <w:rPr>
          <w:rFonts w:hint="eastAsia" w:ascii="黑体" w:hAnsi="黑体" w:eastAsia="黑体" w:cs="黑体"/>
          <w:spacing w:val="16"/>
          <w:sz w:val="30"/>
          <w:szCs w:val="30"/>
          <w:lang w:val="en-US" w:eastAsia="zh-CN"/>
        </w:rPr>
        <w:t>：</w:t>
      </w:r>
      <w:r>
        <w:rPr>
          <w:rFonts w:hint="eastAsia" w:ascii="黑体" w:hAnsi="黑体" w:eastAsia="黑体" w:cs="黑体"/>
          <w:spacing w:val="16"/>
          <w:sz w:val="30"/>
          <w:szCs w:val="30"/>
          <w:u w:val="single"/>
          <w:lang w:val="en-US" w:eastAsia="zh-CN"/>
        </w:rPr>
        <w:t xml:space="preserve">      </w:t>
      </w:r>
      <w:r>
        <w:rPr>
          <w:rFonts w:hint="eastAsia" w:ascii="黑体" w:hAnsi="黑体" w:eastAsia="黑体" w:cs="黑体"/>
          <w:spacing w:val="16"/>
          <w:sz w:val="30"/>
          <w:szCs w:val="30"/>
          <w:u w:val="single"/>
          <w:lang w:eastAsia="en-US"/>
        </w:rPr>
        <w:t>LiveE-commerce</w:t>
      </w:r>
      <w:r>
        <w:rPr>
          <w:rFonts w:hint="eastAsia" w:ascii="黑体" w:hAnsi="黑体" w:eastAsia="黑体" w:cs="黑体"/>
          <w:spacing w:val="16"/>
          <w:sz w:val="30"/>
          <w:szCs w:val="30"/>
          <w:u w:val="single"/>
          <w:lang w:val="en-US" w:eastAsia="zh-CN"/>
        </w:rPr>
        <w:t xml:space="preserve">      </w:t>
      </w:r>
    </w:p>
    <w:p w14:paraId="216F4DD4">
      <w:pPr>
        <w:keepNext w:val="0"/>
        <w:keepLines w:val="0"/>
        <w:pageBreakBefore w:val="0"/>
        <w:wordWrap/>
        <w:overflowPunct/>
        <w:topLinePunct w:val="0"/>
        <w:bidi w:val="0"/>
        <w:spacing w:line="360" w:lineRule="auto"/>
        <w:ind w:left="0" w:leftChars="0" w:right="0" w:rightChars="0" w:firstLine="664" w:firstLineChars="200"/>
        <w:rPr>
          <w:rFonts w:hint="default" w:ascii="黑体" w:hAnsi="黑体" w:eastAsia="黑体" w:cs="黑体"/>
          <w:spacing w:val="16"/>
          <w:sz w:val="30"/>
          <w:szCs w:val="30"/>
          <w:lang w:val="en-US" w:eastAsia="zh-CN"/>
        </w:rPr>
      </w:pPr>
      <w:r>
        <w:rPr>
          <w:rFonts w:ascii="黑体" w:hAnsi="黑体" w:eastAsia="黑体" w:cs="黑体"/>
          <w:spacing w:val="16"/>
          <w:sz w:val="30"/>
          <w:szCs w:val="30"/>
        </w:rPr>
        <w:t>赛项组别：</w:t>
      </w:r>
      <w:r>
        <w:rPr>
          <w:rFonts w:hint="eastAsia" w:ascii="黑体" w:hAnsi="黑体" w:eastAsia="黑体" w:cs="黑体"/>
          <w:spacing w:val="16"/>
          <w:sz w:val="30"/>
          <w:szCs w:val="30"/>
          <w:u w:val="single"/>
          <w:lang w:val="en-US" w:eastAsia="zh-CN"/>
        </w:rPr>
        <w:t xml:space="preserve">     </w:t>
      </w:r>
      <w:r>
        <w:rPr>
          <w:rFonts w:ascii="黑体" w:hAnsi="黑体" w:eastAsia="黑体" w:cs="黑体"/>
          <w:spacing w:val="16"/>
          <w:sz w:val="30"/>
          <w:szCs w:val="30"/>
          <w:u w:val="single"/>
        </w:rPr>
        <w:t>高等职业教育(</w:t>
      </w:r>
      <w:r>
        <w:rPr>
          <w:rFonts w:hint="eastAsia" w:ascii="黑体" w:hAnsi="黑体" w:eastAsia="黑体" w:cs="黑体"/>
          <w:spacing w:val="16"/>
          <w:sz w:val="30"/>
          <w:szCs w:val="30"/>
          <w:u w:val="single"/>
          <w:lang w:val="en-US" w:eastAsia="zh-CN"/>
        </w:rPr>
        <w:t>学生</w:t>
      </w:r>
      <w:r>
        <w:rPr>
          <w:rFonts w:ascii="黑体" w:hAnsi="黑体" w:eastAsia="黑体" w:cs="黑体"/>
          <w:spacing w:val="16"/>
          <w:sz w:val="30"/>
          <w:szCs w:val="30"/>
          <w:u w:val="single"/>
        </w:rPr>
        <w:t>赛)</w:t>
      </w:r>
      <w:r>
        <w:rPr>
          <w:rFonts w:hint="eastAsia" w:ascii="黑体" w:hAnsi="黑体" w:eastAsia="黑体" w:cs="黑体"/>
          <w:spacing w:val="16"/>
          <w:sz w:val="30"/>
          <w:szCs w:val="30"/>
          <w:u w:val="single"/>
          <w:lang w:val="en-US" w:eastAsia="zh-CN"/>
        </w:rPr>
        <w:t xml:space="preserve">  </w:t>
      </w:r>
    </w:p>
    <w:p w14:paraId="0B56DF6E">
      <w:pPr>
        <w:keepNext w:val="0"/>
        <w:keepLines w:val="0"/>
        <w:pageBreakBefore w:val="0"/>
        <w:wordWrap/>
        <w:overflowPunct/>
        <w:topLinePunct w:val="0"/>
        <w:bidi w:val="0"/>
        <w:spacing w:line="360" w:lineRule="auto"/>
        <w:ind w:left="0" w:leftChars="0" w:right="0" w:rightChars="0" w:firstLine="664" w:firstLineChars="200"/>
        <w:rPr>
          <w:rFonts w:hint="default" w:ascii="黑体" w:hAnsi="黑体" w:eastAsia="黑体" w:cs="黑体"/>
          <w:spacing w:val="16"/>
          <w:sz w:val="30"/>
          <w:szCs w:val="30"/>
          <w:lang w:val="en-US" w:eastAsia="zh-CN"/>
        </w:rPr>
      </w:pPr>
      <w:r>
        <w:rPr>
          <w:rFonts w:ascii="黑体" w:hAnsi="黑体" w:eastAsia="黑体" w:cs="黑体"/>
          <w:spacing w:val="16"/>
          <w:sz w:val="30"/>
          <w:szCs w:val="30"/>
        </w:rPr>
        <w:t>赛项编号：</w:t>
      </w:r>
      <w:r>
        <w:rPr>
          <w:rFonts w:hint="eastAsia" w:ascii="黑体" w:hAnsi="黑体" w:eastAsia="黑体" w:cs="黑体"/>
          <w:spacing w:val="16"/>
          <w:sz w:val="30"/>
          <w:szCs w:val="30"/>
          <w:u w:val="single"/>
          <w:lang w:val="en-US" w:eastAsia="zh-CN"/>
        </w:rPr>
        <w:t xml:space="preserve">        </w:t>
      </w:r>
      <w:r>
        <w:rPr>
          <w:rFonts w:hint="eastAsia" w:ascii="黑体" w:hAnsi="黑体" w:eastAsia="黑体" w:cs="黑体"/>
          <w:spacing w:val="16"/>
          <w:sz w:val="30"/>
          <w:szCs w:val="30"/>
          <w:u w:val="single"/>
          <w:lang w:eastAsia="zh-CN"/>
        </w:rPr>
        <w:t>GZ</w:t>
      </w:r>
      <w:r>
        <w:rPr>
          <w:rFonts w:hint="eastAsia" w:ascii="黑体" w:hAnsi="黑体" w:eastAsia="黑体" w:cs="黑体"/>
          <w:spacing w:val="16"/>
          <w:sz w:val="30"/>
          <w:szCs w:val="30"/>
          <w:u w:val="single"/>
          <w:lang w:val="en-US" w:eastAsia="zh-CN"/>
        </w:rPr>
        <w:t xml:space="preserve">202405          </w:t>
      </w:r>
    </w:p>
    <w:p w14:paraId="0718EC9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00" w:firstLineChars="200"/>
        <w:jc w:val="center"/>
        <w:rPr>
          <w:rFonts w:ascii="黑体" w:hAnsi="黑体" w:eastAsia="黑体" w:cs="黑体"/>
          <w:sz w:val="30"/>
          <w:szCs w:val="30"/>
        </w:rPr>
        <w:sectPr>
          <w:pgSz w:w="11906" w:h="16838"/>
          <w:pgMar w:top="1417" w:right="1655" w:bottom="1145" w:left="1672" w:header="0" w:footer="975" w:gutter="0"/>
          <w:pgBorders>
            <w:top w:val="none" w:sz="0" w:space="0"/>
            <w:left w:val="none" w:sz="0" w:space="0"/>
            <w:bottom w:val="none" w:sz="0" w:space="0"/>
            <w:right w:val="none" w:sz="0" w:space="0"/>
          </w:pgBorders>
          <w:cols w:space="0" w:num="1"/>
          <w:rtlGutter w:val="0"/>
          <w:docGrid w:linePitch="0" w:charSpace="0"/>
        </w:sectPr>
      </w:pPr>
    </w:p>
    <w:p w14:paraId="616C52E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rPr>
      </w:pPr>
      <w:r>
        <w:rPr>
          <w:rFonts w:hint="eastAsia" w:ascii="黑体" w:hAnsi="黑体" w:eastAsia="黑体" w:cs="黑体"/>
          <w:spacing w:val="16"/>
          <w:sz w:val="30"/>
          <w:szCs w:val="30"/>
        </w:rPr>
        <w:t>一、赛项信息</w:t>
      </w:r>
    </w:p>
    <w:tbl>
      <w:tblPr>
        <w:tblStyle w:val="11"/>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1625"/>
        <w:gridCol w:w="1030"/>
        <w:gridCol w:w="1054"/>
        <w:gridCol w:w="3780"/>
      </w:tblGrid>
      <w:tr w14:paraId="7B612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8770" w:type="dxa"/>
            <w:gridSpan w:val="5"/>
            <w:noWrap w:val="0"/>
            <w:vAlign w:val="center"/>
          </w:tcPr>
          <w:p w14:paraId="1FDDD77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color w:val="7E7E7E"/>
                <w:spacing w:val="12"/>
                <w:sz w:val="20"/>
                <w:szCs w:val="20"/>
                <w14:textOutline w14:w="3795" w14:cap="sq" w14:cmpd="sng">
                  <w14:solidFill>
                    <w14:srgbClr w14:val="7E7E7E"/>
                  </w14:solidFill>
                  <w14:prstDash w14:val="solid"/>
                  <w14:bevel/>
                </w14:textOutline>
              </w:rPr>
              <w:t>赛项类别</w:t>
            </w:r>
          </w:p>
        </w:tc>
      </w:tr>
      <w:tr w14:paraId="08F7A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8770" w:type="dxa"/>
            <w:gridSpan w:val="5"/>
            <w:noWrap w:val="0"/>
            <w:vAlign w:val="center"/>
          </w:tcPr>
          <w:p w14:paraId="5CC45EC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sz w:val="20"/>
                <w:szCs w:val="20"/>
              </w:rPr>
              <w:drawing>
                <wp:inline distT="0" distB="0" distL="0" distR="0">
                  <wp:extent cx="138430" cy="114300"/>
                  <wp:effectExtent l="0" t="0" r="13970" b="0"/>
                  <wp:docPr id="1" name="IM 2"/>
                  <wp:cNvGraphicFramePr/>
                  <a:graphic xmlns:a="http://schemas.openxmlformats.org/drawingml/2006/main">
                    <a:graphicData uri="http://schemas.openxmlformats.org/drawingml/2006/picture">
                      <pic:pic xmlns:pic="http://schemas.openxmlformats.org/drawingml/2006/picture">
                        <pic:nvPicPr>
                          <pic:cNvPr id="1" name="IM 2"/>
                          <pic:cNvPicPr/>
                        </pic:nvPicPr>
                        <pic:blipFill>
                          <a:blip r:embed="rId9"/>
                          <a:stretch>
                            <a:fillRect/>
                          </a:stretch>
                        </pic:blipFill>
                        <pic:spPr>
                          <a:xfrm>
                            <a:off x="0" y="0"/>
                            <a:ext cx="138683" cy="114300"/>
                          </a:xfrm>
                          <a:prstGeom prst="rect">
                            <a:avLst/>
                          </a:prstGeom>
                        </pic:spPr>
                      </pic:pic>
                    </a:graphicData>
                  </a:graphic>
                </wp:inline>
              </w:drawing>
            </w:r>
            <w:r>
              <w:rPr>
                <w:rFonts w:hint="eastAsia" w:ascii="仿宋" w:hAnsi="仿宋" w:eastAsia="仿宋" w:cs="仿宋"/>
                <w:spacing w:val="21"/>
                <w:sz w:val="20"/>
                <w:szCs w:val="20"/>
              </w:rPr>
              <w:t>每年赛口隔年赛（口单数年/口双数年）</w:t>
            </w:r>
          </w:p>
        </w:tc>
      </w:tr>
      <w:tr w14:paraId="0AC14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8770" w:type="dxa"/>
            <w:gridSpan w:val="5"/>
            <w:noWrap w:val="0"/>
            <w:vAlign w:val="center"/>
          </w:tcPr>
          <w:p w14:paraId="6AC5552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color w:val="7A7A7A"/>
                <w:spacing w:val="10"/>
                <w:sz w:val="20"/>
                <w:szCs w:val="20"/>
                <w14:textOutline w14:w="3795" w14:cap="sq" w14:cmpd="sng">
                  <w14:solidFill>
                    <w14:srgbClr w14:val="7A7A7A"/>
                  </w14:solidFill>
                  <w14:prstDash w14:val="solid"/>
                  <w14:bevel/>
                </w14:textOutline>
              </w:rPr>
              <w:t>赛项组别</w:t>
            </w:r>
          </w:p>
        </w:tc>
      </w:tr>
      <w:tr w14:paraId="594B9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8770" w:type="dxa"/>
            <w:gridSpan w:val="5"/>
            <w:noWrap w:val="0"/>
            <w:vAlign w:val="center"/>
          </w:tcPr>
          <w:p w14:paraId="1ABBBF9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
                <w:sz w:val="20"/>
                <w:szCs w:val="20"/>
              </w:rPr>
            </w:pPr>
            <w:r>
              <w:rPr>
                <w:rFonts w:hint="eastAsia" w:ascii="仿宋" w:hAnsi="仿宋" w:eastAsia="仿宋" w:cs="仿宋"/>
                <w:spacing w:val="1"/>
                <w:sz w:val="20"/>
                <w:szCs w:val="20"/>
              </w:rPr>
              <w:t>□中等职业教育</w:t>
            </w:r>
            <w:r>
              <w:rPr>
                <w:rFonts w:hint="eastAsia" w:ascii="仿宋" w:hAnsi="仿宋" w:eastAsia="仿宋" w:cs="仿宋"/>
                <w:position w:val="3"/>
                <w:sz w:val="20"/>
                <w:szCs w:val="20"/>
              </w:rPr>
              <w:drawing>
                <wp:inline distT="0" distB="0" distL="0" distR="0">
                  <wp:extent cx="124460" cy="114300"/>
                  <wp:effectExtent l="0" t="0" r="8890" b="0"/>
                  <wp:docPr id="2" name="IM 4"/>
                  <wp:cNvGraphicFramePr/>
                  <a:graphic xmlns:a="http://schemas.openxmlformats.org/drawingml/2006/main">
                    <a:graphicData uri="http://schemas.openxmlformats.org/drawingml/2006/picture">
                      <pic:pic xmlns:pic="http://schemas.openxmlformats.org/drawingml/2006/picture">
                        <pic:nvPicPr>
                          <pic:cNvPr id="2" name="IM 4"/>
                          <pic:cNvPicPr/>
                        </pic:nvPicPr>
                        <pic:blipFill>
                          <a:blip r:embed="rId10"/>
                          <a:stretch>
                            <a:fillRect/>
                          </a:stretch>
                        </pic:blipFill>
                        <pic:spPr>
                          <a:xfrm>
                            <a:off x="0" y="0"/>
                            <a:ext cx="124864" cy="114300"/>
                          </a:xfrm>
                          <a:prstGeom prst="rect">
                            <a:avLst/>
                          </a:prstGeom>
                        </pic:spPr>
                      </pic:pic>
                    </a:graphicData>
                  </a:graphic>
                </wp:inline>
              </w:drawing>
            </w:r>
            <w:r>
              <w:rPr>
                <w:rFonts w:hint="eastAsia" w:ascii="仿宋" w:hAnsi="仿宋" w:eastAsia="仿宋" w:cs="仿宋"/>
                <w:spacing w:val="1"/>
                <w:sz w:val="20"/>
                <w:szCs w:val="20"/>
              </w:rPr>
              <w:t>高等职业教育</w:t>
            </w:r>
          </w:p>
        </w:tc>
      </w:tr>
      <w:tr w14:paraId="2FE5E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8770" w:type="dxa"/>
            <w:gridSpan w:val="5"/>
            <w:noWrap w:val="0"/>
            <w:vAlign w:val="center"/>
          </w:tcPr>
          <w:p w14:paraId="63CE4FD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sz w:val="20"/>
                <w:szCs w:val="20"/>
                <w:lang w:val="en-US" w:eastAsia="zh-CN"/>
              </w:rPr>
            </w:pPr>
            <w:r>
              <w:rPr>
                <w:rFonts w:hint="eastAsia" w:ascii="仿宋" w:hAnsi="仿宋" w:eastAsia="仿宋" w:cs="仿宋"/>
                <w:sz w:val="20"/>
                <w:szCs w:val="20"/>
              </w:rPr>
              <w:drawing>
                <wp:inline distT="0" distB="0" distL="0" distR="0">
                  <wp:extent cx="128270" cy="114300"/>
                  <wp:effectExtent l="0" t="0" r="5080" b="0"/>
                  <wp:docPr id="3" name="IM 8"/>
                  <wp:cNvGraphicFramePr/>
                  <a:graphic xmlns:a="http://schemas.openxmlformats.org/drawingml/2006/main">
                    <a:graphicData uri="http://schemas.openxmlformats.org/drawingml/2006/picture">
                      <pic:pic xmlns:pic="http://schemas.openxmlformats.org/drawingml/2006/picture">
                        <pic:nvPicPr>
                          <pic:cNvPr id="3" name="IM 8"/>
                          <pic:cNvPicPr/>
                        </pic:nvPicPr>
                        <pic:blipFill>
                          <a:blip r:embed="rId11"/>
                          <a:stretch>
                            <a:fillRect/>
                          </a:stretch>
                        </pic:blipFill>
                        <pic:spPr>
                          <a:xfrm>
                            <a:off x="0" y="0"/>
                            <a:ext cx="128561" cy="114300"/>
                          </a:xfrm>
                          <a:prstGeom prst="rect">
                            <a:avLst/>
                          </a:prstGeom>
                        </pic:spPr>
                      </pic:pic>
                    </a:graphicData>
                  </a:graphic>
                </wp:inline>
              </w:drawing>
            </w:r>
            <w:r>
              <w:rPr>
                <w:rFonts w:hint="eastAsia" w:ascii="仿宋" w:hAnsi="仿宋" w:eastAsia="仿宋" w:cs="仿宋"/>
                <w:spacing w:val="5"/>
                <w:sz w:val="20"/>
                <w:szCs w:val="20"/>
              </w:rPr>
              <w:t>学生赛(□个人/</w:t>
            </w:r>
            <w:r>
              <w:rPr>
                <w:rFonts w:hint="eastAsia" w:ascii="仿宋" w:hAnsi="仿宋" w:eastAsia="仿宋" w:cs="仿宋"/>
                <w:sz w:val="20"/>
                <w:szCs w:val="20"/>
              </w:rPr>
              <w:drawing>
                <wp:inline distT="0" distB="0" distL="0" distR="0">
                  <wp:extent cx="128270" cy="114300"/>
                  <wp:effectExtent l="0" t="0" r="5080" b="0"/>
                  <wp:docPr id="4" name="IM 8"/>
                  <wp:cNvGraphicFramePr/>
                  <a:graphic xmlns:a="http://schemas.openxmlformats.org/drawingml/2006/main">
                    <a:graphicData uri="http://schemas.openxmlformats.org/drawingml/2006/picture">
                      <pic:pic xmlns:pic="http://schemas.openxmlformats.org/drawingml/2006/picture">
                        <pic:nvPicPr>
                          <pic:cNvPr id="4" name="IM 8"/>
                          <pic:cNvPicPr/>
                        </pic:nvPicPr>
                        <pic:blipFill>
                          <a:blip r:embed="rId11"/>
                          <a:stretch>
                            <a:fillRect/>
                          </a:stretch>
                        </pic:blipFill>
                        <pic:spPr>
                          <a:xfrm>
                            <a:off x="0" y="0"/>
                            <a:ext cx="128561" cy="114300"/>
                          </a:xfrm>
                          <a:prstGeom prst="rect">
                            <a:avLst/>
                          </a:prstGeom>
                        </pic:spPr>
                      </pic:pic>
                    </a:graphicData>
                  </a:graphic>
                </wp:inline>
              </w:drawing>
            </w:r>
            <w:r>
              <w:rPr>
                <w:rFonts w:hint="eastAsia" w:ascii="仿宋" w:hAnsi="仿宋" w:eastAsia="仿宋" w:cs="仿宋"/>
                <w:spacing w:val="5"/>
                <w:sz w:val="20"/>
                <w:szCs w:val="20"/>
              </w:rPr>
              <w:t>团体）口教师赛（试点）</w:t>
            </w:r>
            <w:r>
              <w:rPr>
                <w:rFonts w:hint="eastAsia" w:ascii="仿宋" w:hAnsi="仿宋" w:eastAsia="仿宋" w:cs="仿宋"/>
                <w:spacing w:val="5"/>
                <w:position w:val="4"/>
                <w:sz w:val="20"/>
                <w:szCs w:val="20"/>
              </w:rPr>
              <w:t>口</w:t>
            </w:r>
            <w:r>
              <w:rPr>
                <w:rFonts w:hint="eastAsia" w:ascii="仿宋" w:hAnsi="仿宋" w:eastAsia="仿宋" w:cs="仿宋"/>
                <w:spacing w:val="5"/>
                <w:sz w:val="20"/>
                <w:szCs w:val="20"/>
              </w:rPr>
              <w:t>师生同赛（</w:t>
            </w:r>
            <w:r>
              <w:rPr>
                <w:rFonts w:hint="eastAsia" w:ascii="仿宋" w:hAnsi="仿宋" w:eastAsia="仿宋" w:cs="仿宋"/>
                <w:spacing w:val="4"/>
                <w:sz w:val="20"/>
                <w:szCs w:val="20"/>
              </w:rPr>
              <w:t>试点）</w:t>
            </w:r>
          </w:p>
        </w:tc>
      </w:tr>
      <w:tr w14:paraId="6E6ED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8770" w:type="dxa"/>
            <w:gridSpan w:val="5"/>
            <w:noWrap w:val="0"/>
            <w:vAlign w:val="center"/>
          </w:tcPr>
          <w:p w14:paraId="631EE15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sz w:val="20"/>
                <w:szCs w:val="20"/>
              </w:rPr>
            </w:pPr>
            <w:r>
              <w:rPr>
                <w:rFonts w:hint="eastAsia" w:ascii="仿宋" w:hAnsi="仿宋" w:eastAsia="仿宋" w:cs="仿宋"/>
                <w:color w:val="767676"/>
                <w:spacing w:val="11"/>
                <w:sz w:val="20"/>
                <w:szCs w:val="20"/>
                <w14:textOutline w14:w="3795" w14:cap="sq" w14:cmpd="sng">
                  <w14:solidFill>
                    <w14:srgbClr w14:val="767676"/>
                  </w14:solidFill>
                  <w14:prstDash w14:val="solid"/>
                  <w14:bevel/>
                </w14:textOutline>
              </w:rPr>
              <w:t>涉及专业大类、专业类、专业及核心课程</w:t>
            </w:r>
          </w:p>
        </w:tc>
      </w:tr>
      <w:tr w14:paraId="0195C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281" w:type="dxa"/>
            <w:noWrap w:val="0"/>
            <w:vAlign w:val="center"/>
          </w:tcPr>
          <w:p w14:paraId="6F2E808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spacing w:val="2"/>
                <w:sz w:val="20"/>
                <w:szCs w:val="20"/>
              </w:rPr>
            </w:pPr>
            <w:r>
              <w:rPr>
                <w:rFonts w:hint="eastAsia" w:ascii="仿宋" w:hAnsi="仿宋" w:eastAsia="仿宋" w:cs="仿宋"/>
                <w:spacing w:val="2"/>
                <w:sz w:val="20"/>
                <w:szCs w:val="20"/>
              </w:rPr>
              <w:t>专业大类</w:t>
            </w:r>
          </w:p>
        </w:tc>
        <w:tc>
          <w:tcPr>
            <w:tcW w:w="1625" w:type="dxa"/>
            <w:noWrap w:val="0"/>
            <w:vAlign w:val="center"/>
          </w:tcPr>
          <w:p w14:paraId="2325939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spacing w:val="2"/>
                <w:sz w:val="20"/>
                <w:szCs w:val="20"/>
              </w:rPr>
            </w:pPr>
            <w:r>
              <w:rPr>
                <w:rFonts w:hint="eastAsia" w:ascii="仿宋" w:hAnsi="仿宋" w:eastAsia="仿宋" w:cs="仿宋"/>
                <w:spacing w:val="2"/>
                <w:sz w:val="20"/>
                <w:szCs w:val="20"/>
              </w:rPr>
              <w:t>专业类</w:t>
            </w:r>
          </w:p>
        </w:tc>
        <w:tc>
          <w:tcPr>
            <w:tcW w:w="2084" w:type="dxa"/>
            <w:gridSpan w:val="2"/>
            <w:noWrap w:val="0"/>
            <w:vAlign w:val="center"/>
          </w:tcPr>
          <w:p w14:paraId="6A3E6C7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spacing w:val="2"/>
                <w:sz w:val="20"/>
                <w:szCs w:val="20"/>
              </w:rPr>
            </w:pPr>
            <w:r>
              <w:rPr>
                <w:rFonts w:hint="eastAsia" w:ascii="仿宋" w:hAnsi="仿宋" w:eastAsia="仿宋" w:cs="仿宋"/>
                <w:spacing w:val="2"/>
                <w:sz w:val="20"/>
                <w:szCs w:val="20"/>
              </w:rPr>
              <w:t>专业名称</w:t>
            </w:r>
          </w:p>
        </w:tc>
        <w:tc>
          <w:tcPr>
            <w:tcW w:w="3780" w:type="dxa"/>
            <w:noWrap w:val="0"/>
            <w:vAlign w:val="center"/>
          </w:tcPr>
          <w:p w14:paraId="0011B22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spacing w:val="2"/>
                <w:sz w:val="20"/>
                <w:szCs w:val="20"/>
              </w:rPr>
            </w:pPr>
            <w:r>
              <w:rPr>
                <w:rFonts w:hint="eastAsia" w:ascii="仿宋" w:hAnsi="仿宋" w:eastAsia="仿宋" w:cs="仿宋"/>
                <w:spacing w:val="2"/>
                <w:sz w:val="20"/>
                <w:szCs w:val="20"/>
              </w:rPr>
              <w:t>核心课程</w:t>
            </w:r>
          </w:p>
        </w:tc>
      </w:tr>
      <w:tr w14:paraId="4821E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1281" w:type="dxa"/>
            <w:vMerge w:val="restart"/>
            <w:noWrap w:val="0"/>
            <w:vAlign w:val="center"/>
          </w:tcPr>
          <w:p w14:paraId="428E4EE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53财经</w:t>
            </w:r>
          </w:p>
          <w:p w14:paraId="304A9D1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商贸</w:t>
            </w:r>
          </w:p>
        </w:tc>
        <w:tc>
          <w:tcPr>
            <w:tcW w:w="1625" w:type="dxa"/>
            <w:vMerge w:val="restart"/>
            <w:noWrap w:val="0"/>
            <w:vAlign w:val="center"/>
          </w:tcPr>
          <w:p w14:paraId="00D6BDA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5307电子商务类</w:t>
            </w:r>
          </w:p>
        </w:tc>
        <w:tc>
          <w:tcPr>
            <w:tcW w:w="2084" w:type="dxa"/>
            <w:gridSpan w:val="2"/>
            <w:noWrap w:val="0"/>
            <w:vAlign w:val="center"/>
          </w:tcPr>
          <w:p w14:paraId="64EF955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Cs/>
                <w:kern w:val="2"/>
                <w:sz w:val="20"/>
                <w:szCs w:val="20"/>
                <w:lang w:val="en-US" w:eastAsia="zh-CN" w:bidi="ar-SA"/>
              </w:rPr>
            </w:pPr>
            <w:r>
              <w:rPr>
                <w:rFonts w:hint="eastAsia" w:ascii="仿宋" w:hAnsi="仿宋" w:eastAsia="仿宋" w:cs="仿宋"/>
                <w:bCs/>
                <w:sz w:val="20"/>
                <w:szCs w:val="20"/>
              </w:rPr>
              <w:t>530704网络营销与直播电商</w:t>
            </w:r>
          </w:p>
        </w:tc>
        <w:tc>
          <w:tcPr>
            <w:tcW w:w="3780" w:type="dxa"/>
            <w:noWrap w:val="0"/>
            <w:vAlign w:val="center"/>
          </w:tcPr>
          <w:p w14:paraId="6445388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kern w:val="2"/>
                <w:sz w:val="20"/>
                <w:szCs w:val="20"/>
                <w:lang w:val="en-US" w:eastAsia="zh-CN" w:bidi="ar-SA"/>
              </w:rPr>
            </w:pPr>
            <w:r>
              <w:rPr>
                <w:rFonts w:hint="eastAsia" w:ascii="仿宋" w:hAnsi="仿宋" w:eastAsia="仿宋" w:cs="仿宋"/>
                <w:b w:val="0"/>
                <w:bCs/>
                <w:color w:val="auto"/>
                <w:kern w:val="2"/>
                <w:sz w:val="20"/>
                <w:szCs w:val="20"/>
                <w:lang w:val="en-US" w:eastAsia="zh-CN" w:bidi="ar-SA"/>
              </w:rPr>
              <w:t>市场策划、网络推广、直播销售、内容策划与编辑、直播运营、新媒体运营</w:t>
            </w:r>
          </w:p>
        </w:tc>
      </w:tr>
      <w:tr w14:paraId="0737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281" w:type="dxa"/>
            <w:vMerge w:val="continue"/>
            <w:noWrap w:val="0"/>
            <w:vAlign w:val="center"/>
          </w:tcPr>
          <w:p w14:paraId="78E3CEC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1625" w:type="dxa"/>
            <w:vMerge w:val="continue"/>
            <w:noWrap w:val="0"/>
            <w:vAlign w:val="center"/>
          </w:tcPr>
          <w:p w14:paraId="30E5E2A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084" w:type="dxa"/>
            <w:gridSpan w:val="2"/>
            <w:noWrap w:val="0"/>
            <w:vAlign w:val="center"/>
          </w:tcPr>
          <w:p w14:paraId="005013B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 w:val="0"/>
                <w:bCs/>
                <w:color w:val="auto"/>
                <w:kern w:val="2"/>
                <w:sz w:val="20"/>
                <w:szCs w:val="20"/>
                <w:lang w:val="en-US" w:eastAsia="zh-CN" w:bidi="ar-SA"/>
              </w:rPr>
            </w:pPr>
            <w:r>
              <w:rPr>
                <w:rFonts w:hint="eastAsia" w:ascii="仿宋" w:hAnsi="仿宋" w:eastAsia="仿宋" w:cs="仿宋"/>
                <w:b w:val="0"/>
                <w:bCs/>
                <w:color w:val="auto"/>
                <w:kern w:val="2"/>
                <w:sz w:val="20"/>
                <w:szCs w:val="20"/>
                <w:lang w:val="en-US" w:eastAsia="zh-CN" w:bidi="ar-SA"/>
              </w:rPr>
              <w:t>530701电子商务</w:t>
            </w:r>
          </w:p>
        </w:tc>
        <w:tc>
          <w:tcPr>
            <w:tcW w:w="3780" w:type="dxa"/>
            <w:noWrap w:val="0"/>
            <w:vAlign w:val="center"/>
          </w:tcPr>
          <w:p w14:paraId="0C5E4C2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kern w:val="2"/>
                <w:sz w:val="20"/>
                <w:szCs w:val="20"/>
                <w:lang w:val="en-US" w:eastAsia="zh-CN" w:bidi="ar-SA"/>
              </w:rPr>
            </w:pPr>
            <w:r>
              <w:rPr>
                <w:rFonts w:hint="eastAsia" w:ascii="仿宋" w:hAnsi="仿宋" w:eastAsia="仿宋" w:cs="仿宋"/>
                <w:b w:val="0"/>
                <w:bCs/>
                <w:color w:val="auto"/>
                <w:kern w:val="2"/>
                <w:sz w:val="20"/>
                <w:szCs w:val="20"/>
                <w:lang w:val="en-US" w:eastAsia="zh-CN" w:bidi="ar-SA"/>
              </w:rPr>
              <w:t>网店运营、数据化运营、社群运营、网络营销、互联网销售、视觉营销设计</w:t>
            </w:r>
          </w:p>
        </w:tc>
      </w:tr>
      <w:tr w14:paraId="11D3B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1281" w:type="dxa"/>
            <w:vMerge w:val="continue"/>
            <w:noWrap w:val="0"/>
            <w:vAlign w:val="center"/>
          </w:tcPr>
          <w:p w14:paraId="2D6595F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1625" w:type="dxa"/>
            <w:vMerge w:val="continue"/>
            <w:noWrap w:val="0"/>
            <w:vAlign w:val="center"/>
          </w:tcPr>
          <w:p w14:paraId="24CDA3A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084" w:type="dxa"/>
            <w:gridSpan w:val="2"/>
            <w:noWrap w:val="0"/>
            <w:vAlign w:val="center"/>
          </w:tcPr>
          <w:p w14:paraId="50BB76B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Cs/>
                <w:kern w:val="2"/>
                <w:sz w:val="20"/>
                <w:szCs w:val="20"/>
                <w:lang w:val="en-US" w:eastAsia="zh-CN" w:bidi="ar-SA"/>
              </w:rPr>
            </w:pPr>
            <w:r>
              <w:rPr>
                <w:rFonts w:hint="eastAsia" w:ascii="仿宋" w:hAnsi="仿宋" w:eastAsia="仿宋" w:cs="仿宋"/>
                <w:bCs/>
                <w:sz w:val="20"/>
                <w:szCs w:val="20"/>
              </w:rPr>
              <w:t>530702跨境电子商务</w:t>
            </w:r>
          </w:p>
        </w:tc>
        <w:tc>
          <w:tcPr>
            <w:tcW w:w="3780" w:type="dxa"/>
            <w:noWrap w:val="0"/>
            <w:vAlign w:val="center"/>
          </w:tcPr>
          <w:p w14:paraId="1A85A51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kern w:val="2"/>
                <w:sz w:val="20"/>
                <w:szCs w:val="20"/>
                <w:lang w:val="en-US" w:eastAsia="zh-CN" w:bidi="ar-SA"/>
              </w:rPr>
            </w:pPr>
            <w:r>
              <w:rPr>
                <w:rFonts w:hint="eastAsia" w:ascii="仿宋" w:hAnsi="仿宋" w:eastAsia="仿宋" w:cs="仿宋"/>
                <w:b w:val="0"/>
                <w:bCs/>
                <w:color w:val="auto"/>
                <w:kern w:val="2"/>
                <w:sz w:val="20"/>
                <w:szCs w:val="20"/>
                <w:lang w:val="en-US" w:eastAsia="zh-CN" w:bidi="ar-SA"/>
              </w:rPr>
              <w:t>跨境电商运营、选品管理、国际市场推广、跨境电商数据分析与应用、视觉营销设计</w:t>
            </w:r>
          </w:p>
        </w:tc>
      </w:tr>
      <w:tr w14:paraId="7E055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1281" w:type="dxa"/>
            <w:vMerge w:val="continue"/>
            <w:noWrap w:val="0"/>
            <w:vAlign w:val="center"/>
          </w:tcPr>
          <w:p w14:paraId="16E2C2A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1625" w:type="dxa"/>
            <w:vMerge w:val="continue"/>
            <w:noWrap w:val="0"/>
            <w:vAlign w:val="center"/>
          </w:tcPr>
          <w:p w14:paraId="4DD95A5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084" w:type="dxa"/>
            <w:gridSpan w:val="2"/>
            <w:noWrap w:val="0"/>
            <w:vAlign w:val="center"/>
          </w:tcPr>
          <w:p w14:paraId="248ABD4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Cs/>
                <w:kern w:val="2"/>
                <w:sz w:val="20"/>
                <w:szCs w:val="20"/>
                <w:lang w:val="en-US" w:eastAsia="zh-CN" w:bidi="ar-SA"/>
              </w:rPr>
            </w:pPr>
            <w:r>
              <w:rPr>
                <w:rFonts w:hint="eastAsia" w:ascii="仿宋" w:hAnsi="仿宋" w:eastAsia="仿宋" w:cs="仿宋"/>
                <w:bCs/>
                <w:sz w:val="20"/>
                <w:szCs w:val="20"/>
              </w:rPr>
              <w:t>530703移动商务</w:t>
            </w:r>
          </w:p>
        </w:tc>
        <w:tc>
          <w:tcPr>
            <w:tcW w:w="3780" w:type="dxa"/>
            <w:noWrap w:val="0"/>
            <w:vAlign w:val="center"/>
          </w:tcPr>
          <w:p w14:paraId="73F27BA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kern w:val="2"/>
                <w:sz w:val="20"/>
                <w:szCs w:val="20"/>
                <w:lang w:val="en-US" w:eastAsia="zh-CN" w:bidi="ar-SA"/>
              </w:rPr>
            </w:pPr>
            <w:r>
              <w:rPr>
                <w:rFonts w:hint="eastAsia" w:ascii="仿宋" w:hAnsi="仿宋" w:eastAsia="仿宋" w:cs="仿宋"/>
                <w:b w:val="0"/>
                <w:bCs/>
                <w:color w:val="auto"/>
                <w:kern w:val="2"/>
                <w:sz w:val="20"/>
                <w:szCs w:val="20"/>
                <w:lang w:val="en-US" w:eastAsia="zh-CN" w:bidi="ar-SA"/>
              </w:rPr>
              <w:t>内容运营、产品策划与运营、用户运营与管理、新媒体营销</w:t>
            </w:r>
          </w:p>
        </w:tc>
      </w:tr>
      <w:tr w14:paraId="4DBB5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1281" w:type="dxa"/>
            <w:vMerge w:val="continue"/>
            <w:noWrap w:val="0"/>
            <w:vAlign w:val="center"/>
          </w:tcPr>
          <w:p w14:paraId="0A35184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1625" w:type="dxa"/>
            <w:vMerge w:val="continue"/>
            <w:noWrap w:val="0"/>
            <w:vAlign w:val="center"/>
          </w:tcPr>
          <w:p w14:paraId="3013E91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084" w:type="dxa"/>
            <w:gridSpan w:val="2"/>
            <w:noWrap w:val="0"/>
            <w:vAlign w:val="center"/>
          </w:tcPr>
          <w:p w14:paraId="0D333BA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Cs/>
                <w:kern w:val="2"/>
                <w:sz w:val="20"/>
                <w:szCs w:val="20"/>
                <w:lang w:val="en-US" w:eastAsia="zh-CN" w:bidi="ar-SA"/>
              </w:rPr>
            </w:pPr>
            <w:r>
              <w:rPr>
                <w:rFonts w:hint="eastAsia" w:ascii="仿宋" w:hAnsi="仿宋" w:eastAsia="仿宋" w:cs="仿宋"/>
                <w:bCs/>
                <w:sz w:val="20"/>
                <w:szCs w:val="20"/>
              </w:rPr>
              <w:t>530705农村电子商务</w:t>
            </w:r>
          </w:p>
        </w:tc>
        <w:tc>
          <w:tcPr>
            <w:tcW w:w="3780" w:type="dxa"/>
            <w:noWrap w:val="0"/>
            <w:vAlign w:val="center"/>
          </w:tcPr>
          <w:p w14:paraId="553F400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kern w:val="2"/>
                <w:sz w:val="20"/>
                <w:szCs w:val="20"/>
                <w:lang w:val="en-US" w:eastAsia="zh-CN" w:bidi="ar-SA"/>
              </w:rPr>
            </w:pPr>
            <w:r>
              <w:rPr>
                <w:rFonts w:hint="eastAsia" w:ascii="仿宋" w:hAnsi="仿宋" w:eastAsia="仿宋" w:cs="仿宋"/>
                <w:b w:val="0"/>
                <w:bCs/>
                <w:color w:val="auto"/>
                <w:kern w:val="2"/>
                <w:sz w:val="20"/>
                <w:szCs w:val="20"/>
                <w:lang w:val="en-US" w:eastAsia="zh-CN" w:bidi="ar-SA"/>
              </w:rPr>
              <w:t>网店运营、新媒体运营、网络营销、视觉营销设计</w:t>
            </w:r>
          </w:p>
        </w:tc>
      </w:tr>
      <w:tr w14:paraId="56CA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jc w:val="center"/>
        </w:trPr>
        <w:tc>
          <w:tcPr>
            <w:tcW w:w="1281" w:type="dxa"/>
            <w:vMerge w:val="continue"/>
            <w:noWrap w:val="0"/>
            <w:vAlign w:val="center"/>
          </w:tcPr>
          <w:p w14:paraId="66732D4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1625" w:type="dxa"/>
            <w:vMerge w:val="continue"/>
            <w:noWrap w:val="0"/>
            <w:vAlign w:val="center"/>
          </w:tcPr>
          <w:p w14:paraId="456D606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084" w:type="dxa"/>
            <w:gridSpan w:val="2"/>
            <w:noWrap w:val="0"/>
            <w:vAlign w:val="center"/>
          </w:tcPr>
          <w:p w14:paraId="70AD778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Cs/>
                <w:kern w:val="2"/>
                <w:sz w:val="20"/>
                <w:szCs w:val="20"/>
                <w:lang w:val="en-US" w:eastAsia="zh-CN" w:bidi="ar-SA"/>
              </w:rPr>
            </w:pPr>
            <w:r>
              <w:rPr>
                <w:rFonts w:hint="eastAsia" w:ascii="仿宋" w:hAnsi="仿宋" w:eastAsia="仿宋" w:cs="仿宋"/>
                <w:bCs/>
                <w:kern w:val="2"/>
                <w:sz w:val="20"/>
                <w:szCs w:val="20"/>
                <w:lang w:bidi="ar"/>
              </w:rPr>
              <w:t>530706商务数据分析与应用</w:t>
            </w:r>
          </w:p>
        </w:tc>
        <w:tc>
          <w:tcPr>
            <w:tcW w:w="3780" w:type="dxa"/>
            <w:noWrap w:val="0"/>
            <w:vAlign w:val="center"/>
          </w:tcPr>
          <w:p w14:paraId="051A30E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kern w:val="2"/>
                <w:sz w:val="20"/>
                <w:szCs w:val="20"/>
                <w:lang w:val="en-US" w:eastAsia="zh-CN" w:bidi="ar-SA"/>
              </w:rPr>
            </w:pPr>
            <w:r>
              <w:rPr>
                <w:rFonts w:hint="eastAsia" w:ascii="仿宋" w:hAnsi="仿宋" w:eastAsia="仿宋" w:cs="仿宋"/>
                <w:b w:val="0"/>
                <w:bCs/>
                <w:color w:val="auto"/>
                <w:kern w:val="2"/>
                <w:sz w:val="20"/>
                <w:szCs w:val="20"/>
                <w:lang w:val="en-US" w:eastAsia="zh-CN" w:bidi="ar-SA"/>
              </w:rPr>
              <w:t>产品数据分析、销售数据分析、客户数据分析、市场数据分析、运营管理数据分析</w:t>
            </w:r>
          </w:p>
        </w:tc>
      </w:tr>
      <w:tr w14:paraId="2489A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281" w:type="dxa"/>
            <w:vMerge w:val="continue"/>
            <w:noWrap w:val="0"/>
            <w:vAlign w:val="center"/>
          </w:tcPr>
          <w:p w14:paraId="3C54440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1625" w:type="dxa"/>
            <w:vMerge w:val="restart"/>
            <w:noWrap w:val="0"/>
            <w:vAlign w:val="center"/>
          </w:tcPr>
          <w:p w14:paraId="4500A67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kern w:val="2"/>
                <w:sz w:val="20"/>
                <w:szCs w:val="20"/>
                <w:lang w:val="en-US" w:eastAsia="zh-CN"/>
              </w:rPr>
              <w:t>5305</w:t>
            </w:r>
            <w:r>
              <w:rPr>
                <w:rFonts w:hint="eastAsia" w:ascii="仿宋" w:hAnsi="仿宋" w:eastAsia="仿宋" w:cs="仿宋"/>
                <w:bCs/>
                <w:sz w:val="20"/>
                <w:szCs w:val="20"/>
                <w:lang w:val="en-US" w:eastAsia="zh-CN"/>
              </w:rPr>
              <w:t>经济贸易类</w:t>
            </w:r>
          </w:p>
        </w:tc>
        <w:tc>
          <w:tcPr>
            <w:tcW w:w="2084" w:type="dxa"/>
            <w:gridSpan w:val="2"/>
            <w:noWrap w:val="0"/>
            <w:vAlign w:val="center"/>
          </w:tcPr>
          <w:p w14:paraId="6FD5558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Cs/>
                <w:kern w:val="2"/>
                <w:sz w:val="20"/>
                <w:szCs w:val="20"/>
                <w:lang w:val="en-US" w:eastAsia="zh-CN" w:bidi="ar-SA"/>
              </w:rPr>
            </w:pPr>
            <w:r>
              <w:rPr>
                <w:rFonts w:hint="eastAsia" w:ascii="仿宋" w:hAnsi="仿宋" w:eastAsia="仿宋" w:cs="仿宋"/>
                <w:bCs/>
                <w:kern w:val="2"/>
                <w:sz w:val="20"/>
                <w:szCs w:val="20"/>
                <w:lang w:bidi="ar"/>
              </w:rPr>
              <w:t>530501</w:t>
            </w:r>
            <w:r>
              <w:rPr>
                <w:rFonts w:hint="eastAsia" w:ascii="仿宋" w:hAnsi="仿宋" w:eastAsia="仿宋" w:cs="仿宋"/>
                <w:bCs/>
                <w:sz w:val="20"/>
                <w:szCs w:val="20"/>
              </w:rPr>
              <w:t>国际经济与贸易</w:t>
            </w:r>
          </w:p>
        </w:tc>
        <w:tc>
          <w:tcPr>
            <w:tcW w:w="3780" w:type="dxa"/>
            <w:noWrap w:val="0"/>
            <w:vAlign w:val="center"/>
          </w:tcPr>
          <w:p w14:paraId="1F33010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kern w:val="2"/>
                <w:sz w:val="20"/>
                <w:szCs w:val="20"/>
                <w:lang w:val="en-US" w:eastAsia="zh-CN" w:bidi="ar-SA"/>
              </w:rPr>
            </w:pPr>
            <w:r>
              <w:rPr>
                <w:rFonts w:hint="eastAsia" w:ascii="仿宋" w:hAnsi="仿宋" w:eastAsia="仿宋" w:cs="仿宋"/>
                <w:b w:val="0"/>
                <w:bCs/>
                <w:color w:val="auto"/>
                <w:kern w:val="2"/>
                <w:sz w:val="20"/>
                <w:szCs w:val="20"/>
                <w:lang w:val="en-US" w:eastAsia="zh-CN" w:bidi="ar-SA"/>
              </w:rPr>
              <w:t>跨境电商B2B运营、跨境电商B2B销售、跨境电商B2B营销</w:t>
            </w:r>
          </w:p>
        </w:tc>
      </w:tr>
      <w:tr w14:paraId="4262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1281" w:type="dxa"/>
            <w:vMerge w:val="continue"/>
            <w:noWrap w:val="0"/>
            <w:vAlign w:val="center"/>
          </w:tcPr>
          <w:p w14:paraId="70263C4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1625" w:type="dxa"/>
            <w:vMerge w:val="continue"/>
            <w:noWrap w:val="0"/>
            <w:vAlign w:val="center"/>
          </w:tcPr>
          <w:p w14:paraId="6A6C091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084" w:type="dxa"/>
            <w:gridSpan w:val="2"/>
            <w:noWrap w:val="0"/>
            <w:vAlign w:val="center"/>
          </w:tcPr>
          <w:p w14:paraId="408DFB6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Cs/>
                <w:kern w:val="2"/>
                <w:sz w:val="20"/>
                <w:szCs w:val="20"/>
                <w:lang w:val="en-US" w:eastAsia="zh-CN" w:bidi="ar-SA"/>
              </w:rPr>
            </w:pPr>
            <w:r>
              <w:rPr>
                <w:rFonts w:hint="eastAsia" w:ascii="仿宋" w:hAnsi="仿宋" w:eastAsia="仿宋" w:cs="仿宋"/>
                <w:bCs/>
                <w:sz w:val="20"/>
                <w:szCs w:val="20"/>
              </w:rPr>
              <w:t>530502国际商务</w:t>
            </w:r>
          </w:p>
        </w:tc>
        <w:tc>
          <w:tcPr>
            <w:tcW w:w="3780" w:type="dxa"/>
            <w:noWrap w:val="0"/>
            <w:vAlign w:val="center"/>
          </w:tcPr>
          <w:p w14:paraId="715898A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kern w:val="2"/>
                <w:sz w:val="20"/>
                <w:szCs w:val="20"/>
                <w:lang w:val="en-US" w:eastAsia="zh-CN" w:bidi="ar-SA"/>
              </w:rPr>
            </w:pPr>
            <w:r>
              <w:rPr>
                <w:rFonts w:hint="eastAsia" w:ascii="仿宋" w:hAnsi="仿宋" w:eastAsia="仿宋" w:cs="仿宋"/>
                <w:b w:val="0"/>
                <w:bCs/>
                <w:color w:val="auto"/>
                <w:kern w:val="2"/>
                <w:sz w:val="20"/>
                <w:szCs w:val="20"/>
                <w:lang w:val="en-US" w:eastAsia="zh-CN" w:bidi="ar-SA"/>
              </w:rPr>
              <w:t>国际市场营销实务、国际贸易实务、跨境电商实务</w:t>
            </w:r>
          </w:p>
        </w:tc>
      </w:tr>
      <w:tr w14:paraId="42DA5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1281" w:type="dxa"/>
            <w:vMerge w:val="continue"/>
            <w:noWrap w:val="0"/>
            <w:vAlign w:val="center"/>
          </w:tcPr>
          <w:p w14:paraId="3346B42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1625" w:type="dxa"/>
            <w:vMerge w:val="restart"/>
            <w:noWrap w:val="0"/>
            <w:vAlign w:val="center"/>
          </w:tcPr>
          <w:p w14:paraId="5C534BC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5306工商管理类</w:t>
            </w:r>
          </w:p>
        </w:tc>
        <w:tc>
          <w:tcPr>
            <w:tcW w:w="2084" w:type="dxa"/>
            <w:gridSpan w:val="2"/>
            <w:noWrap w:val="0"/>
            <w:vAlign w:val="center"/>
          </w:tcPr>
          <w:p w14:paraId="077AB5B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Cs/>
                <w:sz w:val="20"/>
                <w:szCs w:val="20"/>
              </w:rPr>
            </w:pPr>
            <w:r>
              <w:rPr>
                <w:rFonts w:hint="eastAsia" w:ascii="仿宋" w:hAnsi="仿宋" w:eastAsia="仿宋" w:cs="仿宋"/>
                <w:bCs/>
                <w:sz w:val="20"/>
                <w:szCs w:val="20"/>
              </w:rPr>
              <w:t>530605市场营销</w:t>
            </w:r>
          </w:p>
        </w:tc>
        <w:tc>
          <w:tcPr>
            <w:tcW w:w="3780" w:type="dxa"/>
            <w:noWrap w:val="0"/>
            <w:vAlign w:val="center"/>
          </w:tcPr>
          <w:p w14:paraId="5815778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sz w:val="20"/>
                <w:szCs w:val="20"/>
              </w:rPr>
            </w:pPr>
            <w:r>
              <w:rPr>
                <w:rFonts w:hint="eastAsia" w:ascii="仿宋" w:hAnsi="仿宋" w:eastAsia="仿宋" w:cs="仿宋"/>
                <w:b w:val="0"/>
                <w:bCs/>
                <w:color w:val="auto"/>
                <w:kern w:val="2"/>
                <w:sz w:val="20"/>
                <w:szCs w:val="20"/>
                <w:lang w:val="en-US" w:eastAsia="zh-CN" w:bidi="ar-SA"/>
              </w:rPr>
              <w:t>数字营销、消费者行为分析、销售与管理、品牌策划与推广、商务礼仪与沟通</w:t>
            </w:r>
          </w:p>
        </w:tc>
      </w:tr>
      <w:tr w14:paraId="1043A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1281" w:type="dxa"/>
            <w:vMerge w:val="continue"/>
            <w:noWrap w:val="0"/>
            <w:vAlign w:val="center"/>
          </w:tcPr>
          <w:p w14:paraId="02298B9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1625" w:type="dxa"/>
            <w:vMerge w:val="continue"/>
            <w:noWrap w:val="0"/>
            <w:vAlign w:val="center"/>
          </w:tcPr>
          <w:p w14:paraId="60FF5C8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084" w:type="dxa"/>
            <w:gridSpan w:val="2"/>
            <w:noWrap w:val="0"/>
            <w:vAlign w:val="center"/>
          </w:tcPr>
          <w:p w14:paraId="2F00302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both"/>
              <w:rPr>
                <w:rFonts w:hint="eastAsia" w:ascii="仿宋" w:hAnsi="仿宋" w:eastAsia="仿宋" w:cs="仿宋"/>
                <w:bCs/>
                <w:sz w:val="20"/>
                <w:szCs w:val="20"/>
              </w:rPr>
            </w:pPr>
            <w:r>
              <w:rPr>
                <w:rFonts w:hint="eastAsia" w:ascii="仿宋" w:hAnsi="仿宋" w:eastAsia="仿宋" w:cs="仿宋"/>
                <w:bCs/>
                <w:sz w:val="20"/>
                <w:szCs w:val="20"/>
              </w:rPr>
              <w:t>530602连锁经营与管理</w:t>
            </w:r>
          </w:p>
        </w:tc>
        <w:tc>
          <w:tcPr>
            <w:tcW w:w="3780" w:type="dxa"/>
            <w:noWrap w:val="0"/>
            <w:vAlign w:val="center"/>
          </w:tcPr>
          <w:p w14:paraId="75571F8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rPr>
                <w:rFonts w:hint="eastAsia" w:ascii="仿宋" w:hAnsi="仿宋" w:eastAsia="仿宋" w:cs="仿宋"/>
                <w:b w:val="0"/>
                <w:bCs/>
                <w:color w:val="auto"/>
                <w:sz w:val="20"/>
                <w:szCs w:val="20"/>
              </w:rPr>
            </w:pPr>
            <w:r>
              <w:rPr>
                <w:rFonts w:hint="eastAsia" w:ascii="仿宋" w:hAnsi="仿宋" w:eastAsia="仿宋" w:cs="仿宋"/>
                <w:b w:val="0"/>
                <w:bCs/>
                <w:color w:val="auto"/>
                <w:sz w:val="20"/>
                <w:szCs w:val="20"/>
              </w:rPr>
              <w:t>连锁经营管理实务、门店营运实务、品类管理、特许经营实务、数字营销基础</w:t>
            </w:r>
          </w:p>
        </w:tc>
      </w:tr>
      <w:tr w14:paraId="35E75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8770" w:type="dxa"/>
            <w:gridSpan w:val="5"/>
            <w:noWrap w:val="0"/>
            <w:vAlign w:val="center"/>
          </w:tcPr>
          <w:p w14:paraId="569E612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
                <w:sz w:val="20"/>
                <w:szCs w:val="20"/>
              </w:rPr>
            </w:pPr>
            <w:r>
              <w:rPr>
                <w:rFonts w:hint="eastAsia" w:ascii="仿宋" w:hAnsi="仿宋" w:eastAsia="仿宋" w:cs="仿宋"/>
                <w:b/>
                <w:sz w:val="20"/>
                <w:szCs w:val="20"/>
                <w:lang w:val="en-US" w:eastAsia="zh-CN"/>
              </w:rPr>
              <w:t>对接</w:t>
            </w:r>
            <w:r>
              <w:rPr>
                <w:rFonts w:hint="eastAsia" w:ascii="仿宋" w:hAnsi="仿宋" w:eastAsia="仿宋" w:cs="仿宋"/>
                <w:b/>
                <w:sz w:val="20"/>
                <w:szCs w:val="20"/>
              </w:rPr>
              <w:t>产业行业、对应岗位（群）及核心能力</w:t>
            </w:r>
          </w:p>
        </w:tc>
      </w:tr>
      <w:tr w14:paraId="55576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1281" w:type="dxa"/>
            <w:noWrap w:val="0"/>
            <w:vAlign w:val="center"/>
          </w:tcPr>
          <w:p w14:paraId="1760DA2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
                <w:sz w:val="20"/>
                <w:szCs w:val="20"/>
              </w:rPr>
            </w:pPr>
            <w:r>
              <w:rPr>
                <w:rFonts w:hint="eastAsia" w:ascii="仿宋" w:hAnsi="仿宋" w:eastAsia="仿宋" w:cs="仿宋"/>
                <w:sz w:val="20"/>
                <w:szCs w:val="20"/>
              </w:rPr>
              <w:t>产业行业</w:t>
            </w:r>
          </w:p>
        </w:tc>
        <w:tc>
          <w:tcPr>
            <w:tcW w:w="2655" w:type="dxa"/>
            <w:gridSpan w:val="2"/>
            <w:noWrap w:val="0"/>
            <w:vAlign w:val="center"/>
          </w:tcPr>
          <w:p w14:paraId="792956E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
                <w:sz w:val="20"/>
                <w:szCs w:val="20"/>
              </w:rPr>
            </w:pPr>
            <w:r>
              <w:rPr>
                <w:rFonts w:hint="eastAsia" w:ascii="仿宋" w:hAnsi="仿宋" w:eastAsia="仿宋" w:cs="仿宋"/>
                <w:sz w:val="20"/>
                <w:szCs w:val="20"/>
              </w:rPr>
              <w:t>岗位（群）</w:t>
            </w:r>
          </w:p>
        </w:tc>
        <w:tc>
          <w:tcPr>
            <w:tcW w:w="4834" w:type="dxa"/>
            <w:gridSpan w:val="2"/>
            <w:noWrap w:val="0"/>
            <w:vAlign w:val="center"/>
          </w:tcPr>
          <w:p w14:paraId="23C8A92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
                <w:sz w:val="20"/>
                <w:szCs w:val="20"/>
              </w:rPr>
            </w:pPr>
            <w:r>
              <w:rPr>
                <w:rFonts w:hint="eastAsia" w:ascii="仿宋" w:hAnsi="仿宋" w:eastAsia="仿宋" w:cs="仿宋"/>
                <w:sz w:val="20"/>
                <w:szCs w:val="20"/>
              </w:rPr>
              <w:t>核心能力</w:t>
            </w:r>
          </w:p>
        </w:tc>
      </w:tr>
      <w:tr w14:paraId="0285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restart"/>
            <w:noWrap w:val="0"/>
            <w:vAlign w:val="center"/>
          </w:tcPr>
          <w:p w14:paraId="20DCA63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互联网和相关服务</w:t>
            </w:r>
            <w:r>
              <w:rPr>
                <w:rFonts w:hint="eastAsia" w:ascii="仿宋" w:hAnsi="仿宋" w:eastAsia="仿宋" w:cs="仿宋"/>
                <w:bCs/>
                <w:sz w:val="20"/>
                <w:szCs w:val="20"/>
                <w:lang w:val="en-US" w:eastAsia="zh-CN"/>
              </w:rPr>
              <w:t>(64)</w:t>
            </w:r>
            <w:r>
              <w:rPr>
                <w:rFonts w:hint="eastAsia" w:ascii="仿宋" w:hAnsi="仿宋" w:eastAsia="仿宋" w:cs="仿宋"/>
                <w:bCs/>
                <w:sz w:val="20"/>
                <w:szCs w:val="20"/>
              </w:rPr>
              <w:t>、批发业</w:t>
            </w:r>
            <w:r>
              <w:rPr>
                <w:rFonts w:hint="eastAsia" w:ascii="仿宋" w:hAnsi="仿宋" w:eastAsia="仿宋" w:cs="仿宋"/>
                <w:bCs/>
                <w:sz w:val="20"/>
                <w:szCs w:val="20"/>
                <w:lang w:val="en-US" w:eastAsia="zh-CN"/>
              </w:rPr>
              <w:t>(51)</w:t>
            </w:r>
            <w:r>
              <w:rPr>
                <w:rFonts w:hint="eastAsia" w:ascii="仿宋" w:hAnsi="仿宋" w:eastAsia="仿宋" w:cs="仿宋"/>
                <w:bCs/>
                <w:sz w:val="20"/>
                <w:szCs w:val="20"/>
              </w:rPr>
              <w:t>、零售业</w:t>
            </w:r>
            <w:r>
              <w:rPr>
                <w:rFonts w:hint="eastAsia" w:ascii="仿宋" w:hAnsi="仿宋" w:eastAsia="仿宋" w:cs="仿宋"/>
                <w:bCs/>
                <w:sz w:val="20"/>
                <w:szCs w:val="20"/>
                <w:lang w:val="en-US" w:eastAsia="zh-CN"/>
              </w:rPr>
              <w:t>(52)</w:t>
            </w:r>
          </w:p>
        </w:tc>
        <w:tc>
          <w:tcPr>
            <w:tcW w:w="2655" w:type="dxa"/>
            <w:gridSpan w:val="2"/>
            <w:vMerge w:val="restart"/>
            <w:noWrap w:val="0"/>
            <w:vAlign w:val="center"/>
          </w:tcPr>
          <w:p w14:paraId="259035F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lang w:val="en-US" w:eastAsia="zh-CN"/>
              </w:rPr>
            </w:pPr>
            <w:r>
              <w:rPr>
                <w:rFonts w:hint="eastAsia" w:ascii="仿宋" w:hAnsi="仿宋" w:eastAsia="仿宋" w:cs="仿宋"/>
                <w:sz w:val="20"/>
                <w:szCs w:val="20"/>
              </w:rPr>
              <w:t>市场策划</w:t>
            </w:r>
          </w:p>
        </w:tc>
        <w:tc>
          <w:tcPr>
            <w:tcW w:w="4834" w:type="dxa"/>
            <w:gridSpan w:val="2"/>
            <w:noWrap w:val="0"/>
            <w:vAlign w:val="center"/>
          </w:tcPr>
          <w:p w14:paraId="6025185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行业分析能力</w:t>
            </w:r>
          </w:p>
        </w:tc>
      </w:tr>
      <w:tr w14:paraId="2BBF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6770F36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69EE40A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66881AC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选品分析能力</w:t>
            </w:r>
          </w:p>
        </w:tc>
      </w:tr>
      <w:tr w14:paraId="6B576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3D3905C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18464D7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0F9A727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直播主题策划能力</w:t>
            </w:r>
          </w:p>
        </w:tc>
      </w:tr>
      <w:tr w14:paraId="22F1A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315611A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0BF0251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2170215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销售策略制定能力</w:t>
            </w:r>
          </w:p>
        </w:tc>
      </w:tr>
      <w:tr w14:paraId="4ED4F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0392435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03F7D32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451AE8F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直播脚本撰写能力</w:t>
            </w:r>
          </w:p>
        </w:tc>
      </w:tr>
      <w:tr w14:paraId="10112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58D733D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5D02B4C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6B119DB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主播人设策划能力</w:t>
            </w:r>
          </w:p>
        </w:tc>
      </w:tr>
      <w:tr w14:paraId="5884D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267D498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restart"/>
            <w:noWrap w:val="0"/>
            <w:vAlign w:val="center"/>
          </w:tcPr>
          <w:p w14:paraId="2C0B562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内容策划</w:t>
            </w:r>
          </w:p>
        </w:tc>
        <w:tc>
          <w:tcPr>
            <w:tcW w:w="4834" w:type="dxa"/>
            <w:gridSpan w:val="2"/>
            <w:noWrap w:val="0"/>
            <w:vAlign w:val="center"/>
          </w:tcPr>
          <w:p w14:paraId="1145A47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内容方案策划能力</w:t>
            </w:r>
          </w:p>
        </w:tc>
      </w:tr>
      <w:tr w14:paraId="12EAF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43C02D7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23AAD6B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2FD4FE3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内容效果监测与评估能力</w:t>
            </w:r>
          </w:p>
        </w:tc>
      </w:tr>
      <w:tr w14:paraId="415C3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34AE1CA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restart"/>
            <w:noWrap w:val="0"/>
            <w:vAlign w:val="center"/>
          </w:tcPr>
          <w:p w14:paraId="2C1A849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直播推广</w:t>
            </w:r>
          </w:p>
        </w:tc>
        <w:tc>
          <w:tcPr>
            <w:tcW w:w="4834" w:type="dxa"/>
            <w:gridSpan w:val="2"/>
            <w:noWrap w:val="0"/>
            <w:vAlign w:val="center"/>
          </w:tcPr>
          <w:p w14:paraId="36FB305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目标受众画像分析能力</w:t>
            </w:r>
          </w:p>
        </w:tc>
      </w:tr>
      <w:tr w14:paraId="450DC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69D59B2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0B1503E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42B4158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推广预算规划能力</w:t>
            </w:r>
          </w:p>
        </w:tc>
      </w:tr>
      <w:tr w14:paraId="77FFC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2EF8598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448CB55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52A4C06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推广策略制定能力</w:t>
            </w:r>
          </w:p>
        </w:tc>
      </w:tr>
      <w:tr w14:paraId="5872B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5BDDD73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34F65E6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45614C6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推广渠道选择能力</w:t>
            </w:r>
          </w:p>
        </w:tc>
      </w:tr>
      <w:tr w14:paraId="07BDD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51DDEC5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6FAA207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1861039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直播推广实施能力</w:t>
            </w:r>
          </w:p>
        </w:tc>
      </w:tr>
      <w:tr w14:paraId="70B95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0249501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7D2B611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3BC4333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直播间引流引入能力</w:t>
            </w:r>
          </w:p>
        </w:tc>
      </w:tr>
      <w:tr w14:paraId="19F3D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171806B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restart"/>
            <w:noWrap w:val="0"/>
            <w:vAlign w:val="center"/>
          </w:tcPr>
          <w:p w14:paraId="0513279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直播运营</w:t>
            </w:r>
          </w:p>
        </w:tc>
        <w:tc>
          <w:tcPr>
            <w:tcW w:w="4834" w:type="dxa"/>
            <w:gridSpan w:val="2"/>
            <w:noWrap w:val="0"/>
            <w:vAlign w:val="center"/>
          </w:tcPr>
          <w:p w14:paraId="695A6FF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直播间搭建能力</w:t>
            </w:r>
          </w:p>
        </w:tc>
      </w:tr>
      <w:tr w14:paraId="13533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112E84F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1D5B720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4961B5B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用户运营与管理能力</w:t>
            </w:r>
          </w:p>
        </w:tc>
      </w:tr>
      <w:tr w14:paraId="7F0D1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38CFAAD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145CB2B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304AC16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直播过程监测与调整能力</w:t>
            </w:r>
          </w:p>
        </w:tc>
      </w:tr>
      <w:tr w14:paraId="4A678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38C33D9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03FDFF4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6772245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建立直播风险预案能力</w:t>
            </w:r>
          </w:p>
        </w:tc>
      </w:tr>
      <w:tr w14:paraId="7D07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22ECDEB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4DDA209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0253962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直播数据分析与优化总结能力</w:t>
            </w:r>
          </w:p>
        </w:tc>
      </w:tr>
      <w:tr w14:paraId="77814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645E50F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restart"/>
            <w:noWrap w:val="0"/>
            <w:vAlign w:val="center"/>
          </w:tcPr>
          <w:p w14:paraId="3BAA486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直播销售</w:t>
            </w:r>
          </w:p>
        </w:tc>
        <w:tc>
          <w:tcPr>
            <w:tcW w:w="4834" w:type="dxa"/>
            <w:gridSpan w:val="2"/>
            <w:noWrap w:val="0"/>
            <w:vAlign w:val="center"/>
          </w:tcPr>
          <w:p w14:paraId="2F3BA1D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直播商品讲解能力</w:t>
            </w:r>
          </w:p>
        </w:tc>
      </w:tr>
      <w:tr w14:paraId="3772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5C3520C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068C4BE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1116F46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直播间氛围把控能力</w:t>
            </w:r>
          </w:p>
        </w:tc>
      </w:tr>
      <w:tr w14:paraId="47C6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0751E56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58C8006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4C6036F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直播互动营销能力</w:t>
            </w:r>
          </w:p>
        </w:tc>
      </w:tr>
      <w:tr w14:paraId="0DD68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0139B27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5A82E1F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7FD38D7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突发状况处理能力</w:t>
            </w:r>
          </w:p>
        </w:tc>
      </w:tr>
      <w:tr w14:paraId="61DC1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281" w:type="dxa"/>
            <w:vMerge w:val="continue"/>
            <w:noWrap w:val="0"/>
            <w:vAlign w:val="center"/>
          </w:tcPr>
          <w:p w14:paraId="5E612B1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2655" w:type="dxa"/>
            <w:gridSpan w:val="2"/>
            <w:vMerge w:val="continue"/>
            <w:noWrap w:val="0"/>
            <w:vAlign w:val="center"/>
          </w:tcPr>
          <w:p w14:paraId="5082B54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p>
        </w:tc>
        <w:tc>
          <w:tcPr>
            <w:tcW w:w="4834" w:type="dxa"/>
            <w:gridSpan w:val="2"/>
            <w:noWrap w:val="0"/>
            <w:vAlign w:val="center"/>
          </w:tcPr>
          <w:p w14:paraId="318CDE2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rPr>
                <w:rFonts w:hint="eastAsia" w:ascii="仿宋" w:hAnsi="仿宋" w:eastAsia="仿宋" w:cs="仿宋"/>
                <w:bCs/>
                <w:sz w:val="20"/>
                <w:szCs w:val="20"/>
              </w:rPr>
            </w:pPr>
            <w:r>
              <w:rPr>
                <w:rFonts w:hint="eastAsia" w:ascii="仿宋" w:hAnsi="仿宋" w:eastAsia="仿宋" w:cs="仿宋"/>
                <w:bCs/>
                <w:sz w:val="20"/>
                <w:szCs w:val="20"/>
              </w:rPr>
              <w:t>直播间流量转化能力</w:t>
            </w:r>
          </w:p>
        </w:tc>
      </w:tr>
    </w:tbl>
    <w:p w14:paraId="36685770">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rPr>
          <w:rFonts w:hint="eastAsia" w:ascii="仿宋" w:hAnsi="仿宋" w:eastAsia="仿宋" w:cs="仿宋"/>
        </w:rPr>
      </w:pPr>
    </w:p>
    <w:p w14:paraId="7CF6FBE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b w:val="0"/>
          <w:bCs w:val="0"/>
          <w:spacing w:val="16"/>
          <w:sz w:val="30"/>
          <w:szCs w:val="30"/>
        </w:rPr>
      </w:pPr>
      <w:r>
        <w:rPr>
          <w:rFonts w:hint="eastAsia" w:ascii="黑体" w:hAnsi="黑体" w:eastAsia="黑体" w:cs="黑体"/>
          <w:b w:val="0"/>
          <w:bCs w:val="0"/>
          <w:spacing w:val="16"/>
          <w:sz w:val="30"/>
          <w:szCs w:val="30"/>
        </w:rPr>
        <w:t>二、竞赛目的</w:t>
      </w:r>
    </w:p>
    <w:p w14:paraId="59AE16D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56" w:firstLineChars="200"/>
        <w:rPr>
          <w:rFonts w:hint="eastAsia" w:ascii="仿宋" w:hAnsi="仿宋" w:eastAsia="仿宋" w:cs="仿宋"/>
          <w:color w:val="000000"/>
          <w:spacing w:val="-1"/>
          <w:kern w:val="0"/>
          <w:sz w:val="28"/>
          <w:szCs w:val="28"/>
          <w:lang w:val="en-US" w:eastAsia="zh-CN" w:bidi="ar-SA"/>
        </w:rPr>
      </w:pPr>
      <w:r>
        <w:rPr>
          <w:rFonts w:hint="eastAsia" w:ascii="仿宋" w:hAnsi="仿宋" w:eastAsia="仿宋" w:cs="仿宋"/>
          <w:color w:val="000000"/>
          <w:spacing w:val="-1"/>
          <w:kern w:val="0"/>
          <w:sz w:val="28"/>
          <w:szCs w:val="28"/>
          <w:lang w:val="en-US" w:eastAsia="zh-CN" w:bidi="ar-SA"/>
        </w:rPr>
        <w:t>赛项坚持立德树人根本任务不动摇，对接大数据、人工智能和云计算等新技术背景下传统电商向直播电商数字化转型新趋势，以培养优秀直播电商人才、服务直播电商行业人才需求为出发点，坚持国家“十四五”规划中“鼓励商贸流通业态与模式创新，推进数字化智能化改造和跨界融合，线上线下全渠道满足消费需求”“培育新型消费，发展数字消费”等政策要求，深入贯彻党中央、国务院关于发展数字经济、建设数字中国总体要求，促进中国直播电商行业持续健康发展。</w:t>
      </w:r>
    </w:p>
    <w:p w14:paraId="424736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56" w:firstLineChars="200"/>
        <w:rPr>
          <w:rFonts w:hint="eastAsia" w:ascii="仿宋" w:hAnsi="仿宋" w:eastAsia="仿宋" w:cs="仿宋"/>
          <w:color w:val="000000"/>
          <w:spacing w:val="-1"/>
          <w:kern w:val="0"/>
          <w:sz w:val="28"/>
          <w:szCs w:val="28"/>
          <w:lang w:val="en-US" w:eastAsia="zh-CN" w:bidi="ar-SA"/>
        </w:rPr>
      </w:pPr>
      <w:r>
        <w:rPr>
          <w:rFonts w:hint="eastAsia" w:ascii="仿宋" w:hAnsi="仿宋" w:eastAsia="仿宋" w:cs="仿宋"/>
          <w:color w:val="000000"/>
          <w:spacing w:val="-1"/>
          <w:kern w:val="0"/>
          <w:sz w:val="28"/>
          <w:szCs w:val="28"/>
          <w:lang w:val="en-US" w:eastAsia="zh-CN" w:bidi="ar-SA"/>
        </w:rPr>
        <w:t>赛项遵循公开、公平、公正、公益的原则，坚持以“高水平赛事推动职业教育高质量发展”为主线，对接产业前沿技术，引入行业标准，以职业需求为导向、以实践能力培养为重点、以产教融合为途径，全面考查参赛选手的职业道德、职业素养和技术技能水平，展示职业教育改革成果，引领职业院校专业建设，以赛促教、以赛促学、以赛促改，深化“三教”改革，推动专业建设与产业需求对接、课程内容与职业标准对接、教学过程与生产过程对接，推动直播电商从业人员整体水平能力提升，充分发挥技能大赛对职业教育“树旗、导航、定标、催化”的作用，推进“岗课赛证”综合育人，提升专业人才培养的针对性和人才就业的职业适应性。</w:t>
      </w:r>
    </w:p>
    <w:p w14:paraId="1473A32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rPr>
      </w:pPr>
      <w:r>
        <w:rPr>
          <w:rFonts w:hint="eastAsia" w:ascii="黑体" w:hAnsi="黑体" w:eastAsia="黑体" w:cs="黑体"/>
          <w:spacing w:val="16"/>
          <w:sz w:val="30"/>
          <w:szCs w:val="30"/>
        </w:rPr>
        <w:t>三、竞赛内容</w:t>
      </w:r>
    </w:p>
    <w:p w14:paraId="34F9E6C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（一）赛项内容</w:t>
      </w:r>
    </w:p>
    <w:p w14:paraId="535C5A0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56" w:firstLineChars="200"/>
        <w:rPr>
          <w:rFonts w:hint="eastAsia" w:ascii="仿宋" w:hAnsi="仿宋" w:eastAsia="仿宋" w:cs="仿宋"/>
          <w:color w:val="000000"/>
          <w:spacing w:val="-1"/>
          <w:kern w:val="0"/>
          <w:sz w:val="28"/>
          <w:szCs w:val="28"/>
          <w:lang w:val="en-US" w:eastAsia="zh-CN" w:bidi="ar-SA"/>
        </w:rPr>
      </w:pPr>
      <w:r>
        <w:rPr>
          <w:rFonts w:hint="eastAsia" w:ascii="仿宋" w:hAnsi="仿宋" w:eastAsia="仿宋" w:cs="仿宋"/>
          <w:color w:val="000000"/>
          <w:spacing w:val="-1"/>
          <w:kern w:val="0"/>
          <w:sz w:val="28"/>
          <w:szCs w:val="28"/>
          <w:lang w:val="en-US" w:eastAsia="zh-CN" w:bidi="ar-SA"/>
        </w:rPr>
        <w:t>本赛项按照党的二十大提出的“加快发展数字经济，促进数字经济和实体经济深度融合”“创新服务贸易发展机制，发展数字贸易，加快建设贸易强国”等主张，不断深入贯彻落实党中央、国务院关于发展数字经济、建设数字中国的总体要求。面向市场策划、内容策划、直播推广、直播运营、直播销售等岗位（群），以直播商品管理、直播主题及互动策划、直播脚本策划、直播推广策划、直播间装修、直播销售、直播互动、直播数据分析等典型工作任务的完成质量以及选手职业素养作为竞赛内容，全面考查选手的专业核心能力以及礼仪规范、服务意识、合规意识、风险意识以及团队协作意识等职业素养。具体竞赛内容结构、成绩比例，如下表所示：</w:t>
      </w:r>
    </w:p>
    <w:p w14:paraId="5CB75004">
      <w:pPr>
        <w:pStyle w:val="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rPr>
          <w:rFonts w:hint="eastAsia" w:ascii="仿宋" w:hAnsi="仿宋" w:eastAsia="仿宋" w:cs="仿宋"/>
          <w:b/>
          <w:bCs/>
          <w:color w:val="000000"/>
          <w:kern w:val="2"/>
          <w:sz w:val="20"/>
          <w:szCs w:val="20"/>
          <w:lang w:val="en-US" w:eastAsia="zh-CN" w:bidi="ar-SA"/>
        </w:rPr>
      </w:pPr>
      <w:r>
        <w:rPr>
          <w:rFonts w:hint="eastAsia" w:ascii="仿宋" w:hAnsi="仿宋" w:eastAsia="仿宋" w:cs="仿宋"/>
          <w:b/>
          <w:bCs/>
          <w:color w:val="000000"/>
          <w:kern w:val="2"/>
          <w:sz w:val="20"/>
          <w:szCs w:val="20"/>
          <w:lang w:val="en-US" w:eastAsia="zh-CN" w:bidi="ar-SA"/>
        </w:rPr>
        <w:t>表3-1 竞赛内容与成绩比例</w:t>
      </w: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6"/>
        <w:gridCol w:w="1272"/>
        <w:gridCol w:w="5146"/>
        <w:gridCol w:w="1549"/>
      </w:tblGrid>
      <w:tr w14:paraId="4D18B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2568" w:type="dxa"/>
            <w:gridSpan w:val="2"/>
            <w:noWrap w:val="0"/>
            <w:vAlign w:val="center"/>
          </w:tcPr>
          <w:p w14:paraId="7AAA3E80">
            <w:pPr>
              <w:adjustRightInd w:val="0"/>
              <w:snapToGrid w:val="0"/>
              <w:spacing w:line="240" w:lineRule="auto"/>
              <w:ind w:right="210" w:rightChars="100"/>
              <w:jc w:val="center"/>
              <w:rPr>
                <w:rFonts w:hint="eastAsia" w:ascii="仿宋" w:hAnsi="仿宋" w:eastAsia="仿宋" w:cs="仿宋"/>
                <w:b/>
                <w:sz w:val="20"/>
                <w:szCs w:val="20"/>
              </w:rPr>
            </w:pPr>
            <w:r>
              <w:rPr>
                <w:rFonts w:hint="eastAsia" w:ascii="仿宋" w:hAnsi="仿宋" w:eastAsia="仿宋" w:cs="仿宋"/>
                <w:b/>
                <w:sz w:val="20"/>
                <w:szCs w:val="20"/>
              </w:rPr>
              <w:t>模块</w:t>
            </w:r>
          </w:p>
        </w:tc>
        <w:tc>
          <w:tcPr>
            <w:tcW w:w="5146" w:type="dxa"/>
            <w:noWrap w:val="0"/>
            <w:vAlign w:val="center"/>
          </w:tcPr>
          <w:p w14:paraId="7AAF2D42">
            <w:pPr>
              <w:adjustRightInd w:val="0"/>
              <w:snapToGrid w:val="0"/>
              <w:spacing w:line="240" w:lineRule="auto"/>
              <w:ind w:right="210" w:rightChars="100"/>
              <w:jc w:val="center"/>
              <w:rPr>
                <w:rFonts w:hint="eastAsia" w:ascii="仿宋" w:hAnsi="仿宋" w:eastAsia="仿宋" w:cs="仿宋"/>
                <w:b/>
                <w:sz w:val="20"/>
                <w:szCs w:val="20"/>
              </w:rPr>
            </w:pPr>
            <w:r>
              <w:rPr>
                <w:rFonts w:hint="eastAsia" w:ascii="仿宋" w:hAnsi="仿宋" w:eastAsia="仿宋" w:cs="仿宋"/>
                <w:b/>
                <w:sz w:val="20"/>
                <w:szCs w:val="20"/>
              </w:rPr>
              <w:t>主要内容</w:t>
            </w:r>
          </w:p>
        </w:tc>
        <w:tc>
          <w:tcPr>
            <w:tcW w:w="1549" w:type="dxa"/>
            <w:noWrap w:val="0"/>
            <w:vAlign w:val="center"/>
          </w:tcPr>
          <w:p w14:paraId="5E82EBE2">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b/>
                <w:sz w:val="20"/>
                <w:szCs w:val="20"/>
                <w:lang w:eastAsia="zh-CN"/>
              </w:rPr>
            </w:pPr>
            <w:r>
              <w:rPr>
                <w:rFonts w:hint="eastAsia" w:ascii="仿宋" w:hAnsi="仿宋" w:eastAsia="仿宋" w:cs="仿宋"/>
                <w:b/>
                <w:sz w:val="20"/>
                <w:szCs w:val="20"/>
                <w:lang w:val="en-US" w:eastAsia="zh-CN"/>
              </w:rPr>
              <w:t>分值</w:t>
            </w:r>
          </w:p>
        </w:tc>
      </w:tr>
      <w:tr w14:paraId="0C8F7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1" w:hRule="atLeast"/>
          <w:jc w:val="center"/>
        </w:trPr>
        <w:tc>
          <w:tcPr>
            <w:tcW w:w="1296" w:type="dxa"/>
            <w:noWrap w:val="0"/>
            <w:vAlign w:val="center"/>
          </w:tcPr>
          <w:p w14:paraId="487B6609">
            <w:pPr>
              <w:keepNext w:val="0"/>
              <w:keepLines w:val="0"/>
              <w:pageBreakBefore w:val="0"/>
              <w:widowControl w:val="0"/>
              <w:kinsoku/>
              <w:wordWrap/>
              <w:overflowPunct/>
              <w:topLinePunct w:val="0"/>
              <w:autoSpaceDE/>
              <w:autoSpaceDN/>
              <w:bidi w:val="0"/>
              <w:adjustRightInd w:val="0"/>
              <w:snapToGrid w:val="0"/>
              <w:spacing w:line="240" w:lineRule="auto"/>
              <w:ind w:right="210" w:rightChars="100"/>
              <w:jc w:val="center"/>
              <w:textAlignment w:val="auto"/>
              <w:rPr>
                <w:rFonts w:hint="eastAsia" w:ascii="仿宋" w:hAnsi="仿宋" w:eastAsia="仿宋" w:cs="仿宋"/>
                <w:b/>
                <w:bCs w:val="0"/>
                <w:sz w:val="20"/>
                <w:szCs w:val="20"/>
              </w:rPr>
            </w:pPr>
            <w:r>
              <w:rPr>
                <w:rFonts w:hint="eastAsia" w:ascii="仿宋" w:hAnsi="仿宋" w:eastAsia="仿宋" w:cs="仿宋"/>
                <w:b/>
                <w:bCs w:val="0"/>
                <w:sz w:val="20"/>
                <w:szCs w:val="20"/>
              </w:rPr>
              <w:t>模块一</w:t>
            </w:r>
          </w:p>
        </w:tc>
        <w:tc>
          <w:tcPr>
            <w:tcW w:w="1272" w:type="dxa"/>
            <w:noWrap w:val="0"/>
            <w:vAlign w:val="center"/>
          </w:tcPr>
          <w:p w14:paraId="66DB5048">
            <w:pPr>
              <w:pStyle w:val="4"/>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kern w:val="2"/>
                <w:sz w:val="20"/>
                <w:szCs w:val="20"/>
                <w:highlight w:val="none"/>
                <w:lang w:val="en-US" w:eastAsia="zh-CN" w:bidi="ar-SA"/>
              </w:rPr>
              <w:t>直播策划</w:t>
            </w:r>
          </w:p>
        </w:tc>
        <w:tc>
          <w:tcPr>
            <w:tcW w:w="5146" w:type="dxa"/>
            <w:noWrap w:val="0"/>
            <w:vAlign w:val="center"/>
          </w:tcPr>
          <w:p w14:paraId="5FA09CB9">
            <w:pPr>
              <w:pStyle w:val="4"/>
              <w:keepNext w:val="0"/>
              <w:keepLines w:val="0"/>
              <w:pageBreakBefore w:val="0"/>
              <w:widowControl w:val="0"/>
              <w:kinsoku/>
              <w:wordWrap/>
              <w:overflowPunct/>
              <w:topLinePunct w:val="0"/>
              <w:autoSpaceDE/>
              <w:autoSpaceDN/>
              <w:bidi w:val="0"/>
              <w:spacing w:line="240" w:lineRule="auto"/>
              <w:jc w:val="left"/>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kern w:val="2"/>
                <w:sz w:val="20"/>
                <w:szCs w:val="20"/>
                <w:highlight w:val="none"/>
                <w:lang w:val="en-US" w:eastAsia="zh-CN" w:bidi="ar-SA"/>
              </w:rPr>
              <w:t>根据所给商品数据分析，进行直播选品和定价，规划推广资金，撰写脚本，策划直播主题和互动方案，进行直播广告投放，提升直播间流量。</w:t>
            </w:r>
          </w:p>
        </w:tc>
        <w:tc>
          <w:tcPr>
            <w:tcW w:w="1549" w:type="dxa"/>
            <w:noWrap w:val="0"/>
            <w:vAlign w:val="center"/>
          </w:tcPr>
          <w:p w14:paraId="1120EB9F">
            <w:pPr>
              <w:pStyle w:val="4"/>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kern w:val="2"/>
                <w:sz w:val="20"/>
                <w:szCs w:val="20"/>
                <w:highlight w:val="none"/>
                <w:lang w:val="en-US" w:eastAsia="zh-CN" w:bidi="ar-SA"/>
              </w:rPr>
              <w:t>30%</w:t>
            </w:r>
          </w:p>
        </w:tc>
      </w:tr>
      <w:tr w14:paraId="4B7C48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1" w:hRule="atLeast"/>
          <w:jc w:val="center"/>
        </w:trPr>
        <w:tc>
          <w:tcPr>
            <w:tcW w:w="1296" w:type="dxa"/>
            <w:noWrap w:val="0"/>
            <w:vAlign w:val="center"/>
          </w:tcPr>
          <w:p w14:paraId="4F269CB3">
            <w:pPr>
              <w:keepNext w:val="0"/>
              <w:keepLines w:val="0"/>
              <w:pageBreakBefore w:val="0"/>
              <w:widowControl w:val="0"/>
              <w:kinsoku/>
              <w:wordWrap/>
              <w:overflowPunct/>
              <w:topLinePunct w:val="0"/>
              <w:autoSpaceDE/>
              <w:autoSpaceDN/>
              <w:bidi w:val="0"/>
              <w:adjustRightInd w:val="0"/>
              <w:snapToGrid w:val="0"/>
              <w:spacing w:line="240" w:lineRule="auto"/>
              <w:ind w:right="210" w:rightChars="100"/>
              <w:jc w:val="center"/>
              <w:textAlignment w:val="auto"/>
              <w:rPr>
                <w:rFonts w:hint="eastAsia" w:ascii="仿宋" w:hAnsi="仿宋" w:eastAsia="仿宋" w:cs="仿宋"/>
                <w:b/>
                <w:bCs w:val="0"/>
                <w:sz w:val="20"/>
                <w:szCs w:val="20"/>
              </w:rPr>
            </w:pPr>
            <w:r>
              <w:rPr>
                <w:rFonts w:hint="eastAsia" w:ascii="仿宋" w:hAnsi="仿宋" w:eastAsia="仿宋" w:cs="仿宋"/>
                <w:b/>
                <w:bCs w:val="0"/>
                <w:sz w:val="20"/>
                <w:szCs w:val="20"/>
              </w:rPr>
              <w:t>模块二</w:t>
            </w:r>
          </w:p>
        </w:tc>
        <w:tc>
          <w:tcPr>
            <w:tcW w:w="1272" w:type="dxa"/>
            <w:noWrap w:val="0"/>
            <w:vAlign w:val="center"/>
          </w:tcPr>
          <w:p w14:paraId="61569B9D">
            <w:pPr>
              <w:pStyle w:val="4"/>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kern w:val="2"/>
                <w:sz w:val="20"/>
                <w:szCs w:val="20"/>
                <w:highlight w:val="none"/>
                <w:lang w:val="en-US" w:eastAsia="zh-CN" w:bidi="ar-SA"/>
              </w:rPr>
              <w:t>直播运营</w:t>
            </w:r>
          </w:p>
        </w:tc>
        <w:tc>
          <w:tcPr>
            <w:tcW w:w="5146" w:type="dxa"/>
            <w:noWrap w:val="0"/>
            <w:vAlign w:val="center"/>
          </w:tcPr>
          <w:p w14:paraId="0BFEB61F">
            <w:pPr>
              <w:pStyle w:val="4"/>
              <w:keepNext w:val="0"/>
              <w:keepLines w:val="0"/>
              <w:pageBreakBefore w:val="0"/>
              <w:widowControl w:val="0"/>
              <w:kinsoku/>
              <w:wordWrap/>
              <w:overflowPunct/>
              <w:topLinePunct w:val="0"/>
              <w:autoSpaceDE/>
              <w:autoSpaceDN/>
              <w:bidi w:val="0"/>
              <w:spacing w:line="240" w:lineRule="auto"/>
              <w:jc w:val="left"/>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kern w:val="2"/>
                <w:sz w:val="20"/>
                <w:szCs w:val="20"/>
                <w:highlight w:val="none"/>
                <w:lang w:val="en-US" w:eastAsia="zh-CN" w:bidi="ar-SA"/>
              </w:rPr>
              <w:t>根据直播活动方案，搭建直播间并对直播间进行装修，完成直播商品上架、优惠券等活动设置。根据直播脚本、商品销售话术进行直播，直播过程中与直播间观众积极互动，把控直播节奏，活跃直播间氛围。</w:t>
            </w:r>
          </w:p>
        </w:tc>
        <w:tc>
          <w:tcPr>
            <w:tcW w:w="1549" w:type="dxa"/>
            <w:noWrap w:val="0"/>
            <w:vAlign w:val="center"/>
          </w:tcPr>
          <w:p w14:paraId="396D7D65">
            <w:pPr>
              <w:pStyle w:val="4"/>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kern w:val="2"/>
                <w:sz w:val="20"/>
                <w:szCs w:val="20"/>
                <w:highlight w:val="none"/>
                <w:lang w:val="en-US" w:eastAsia="zh-CN" w:bidi="ar-SA"/>
              </w:rPr>
              <w:t>50%</w:t>
            </w:r>
          </w:p>
        </w:tc>
      </w:tr>
      <w:tr w14:paraId="22FF7C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jc w:val="center"/>
        </w:trPr>
        <w:tc>
          <w:tcPr>
            <w:tcW w:w="1296" w:type="dxa"/>
            <w:noWrap w:val="0"/>
            <w:vAlign w:val="center"/>
          </w:tcPr>
          <w:p w14:paraId="5122E750">
            <w:pPr>
              <w:keepNext w:val="0"/>
              <w:keepLines w:val="0"/>
              <w:pageBreakBefore w:val="0"/>
              <w:widowControl w:val="0"/>
              <w:kinsoku/>
              <w:wordWrap/>
              <w:overflowPunct/>
              <w:topLinePunct w:val="0"/>
              <w:autoSpaceDE/>
              <w:autoSpaceDN/>
              <w:bidi w:val="0"/>
              <w:adjustRightInd w:val="0"/>
              <w:snapToGrid w:val="0"/>
              <w:spacing w:line="240" w:lineRule="auto"/>
              <w:ind w:right="210" w:rightChars="100"/>
              <w:jc w:val="center"/>
              <w:textAlignment w:val="auto"/>
              <w:rPr>
                <w:rFonts w:hint="eastAsia" w:ascii="仿宋" w:hAnsi="仿宋" w:eastAsia="仿宋" w:cs="仿宋"/>
                <w:b/>
                <w:bCs w:val="0"/>
                <w:sz w:val="20"/>
                <w:szCs w:val="20"/>
              </w:rPr>
            </w:pPr>
            <w:r>
              <w:rPr>
                <w:rFonts w:hint="eastAsia" w:ascii="仿宋" w:hAnsi="仿宋" w:eastAsia="仿宋" w:cs="仿宋"/>
                <w:b/>
                <w:bCs w:val="0"/>
                <w:sz w:val="20"/>
                <w:szCs w:val="20"/>
              </w:rPr>
              <w:t>模块三</w:t>
            </w:r>
          </w:p>
        </w:tc>
        <w:tc>
          <w:tcPr>
            <w:tcW w:w="1272" w:type="dxa"/>
            <w:noWrap w:val="0"/>
            <w:vAlign w:val="center"/>
          </w:tcPr>
          <w:p w14:paraId="2C1A2DDA">
            <w:pPr>
              <w:pStyle w:val="4"/>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kern w:val="2"/>
                <w:sz w:val="20"/>
                <w:szCs w:val="20"/>
                <w:highlight w:val="none"/>
                <w:lang w:val="en-US" w:eastAsia="zh-CN" w:bidi="ar-SA"/>
              </w:rPr>
              <w:t>直播复盘</w:t>
            </w:r>
          </w:p>
        </w:tc>
        <w:tc>
          <w:tcPr>
            <w:tcW w:w="5146" w:type="dxa"/>
            <w:noWrap w:val="0"/>
            <w:vAlign w:val="center"/>
          </w:tcPr>
          <w:p w14:paraId="1BF36B2C">
            <w:pPr>
              <w:pStyle w:val="4"/>
              <w:keepNext w:val="0"/>
              <w:keepLines w:val="0"/>
              <w:pageBreakBefore w:val="0"/>
              <w:widowControl w:val="0"/>
              <w:kinsoku/>
              <w:wordWrap/>
              <w:overflowPunct/>
              <w:topLinePunct w:val="0"/>
              <w:autoSpaceDE/>
              <w:autoSpaceDN/>
              <w:bidi w:val="0"/>
              <w:spacing w:line="240" w:lineRule="auto"/>
              <w:jc w:val="left"/>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kern w:val="2"/>
                <w:sz w:val="20"/>
                <w:szCs w:val="20"/>
                <w:highlight w:val="none"/>
                <w:lang w:val="en-US" w:eastAsia="zh-CN" w:bidi="ar-SA"/>
              </w:rPr>
              <w:t>准确分析直播平台后台的流量、销售、用户等数据，提炼直播及推广亮点与不足，合理设计优化方案，形成PPT。</w:t>
            </w:r>
          </w:p>
        </w:tc>
        <w:tc>
          <w:tcPr>
            <w:tcW w:w="1549" w:type="dxa"/>
            <w:noWrap w:val="0"/>
            <w:vAlign w:val="center"/>
          </w:tcPr>
          <w:p w14:paraId="229504B7">
            <w:pPr>
              <w:pStyle w:val="4"/>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kern w:val="2"/>
                <w:sz w:val="20"/>
                <w:szCs w:val="20"/>
                <w:highlight w:val="none"/>
                <w:lang w:val="en-US" w:eastAsia="zh-CN" w:bidi="ar-SA"/>
              </w:rPr>
              <w:t>20%</w:t>
            </w:r>
          </w:p>
        </w:tc>
      </w:tr>
    </w:tbl>
    <w:p w14:paraId="0ACE0CE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（二）赛项模块及任务</w:t>
      </w:r>
    </w:p>
    <w:p w14:paraId="39F9E38F">
      <w:pPr>
        <w:pStyle w:val="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rPr>
          <w:rFonts w:hint="eastAsia" w:ascii="仿宋" w:hAnsi="仿宋" w:eastAsia="仿宋" w:cs="仿宋"/>
          <w:b/>
          <w:bCs/>
          <w:color w:val="000000"/>
          <w:kern w:val="2"/>
          <w:sz w:val="20"/>
          <w:szCs w:val="20"/>
          <w:lang w:val="en-US" w:eastAsia="zh-CN" w:bidi="ar-SA"/>
        </w:rPr>
      </w:pPr>
      <w:r>
        <w:rPr>
          <w:rFonts w:hint="eastAsia" w:ascii="仿宋" w:hAnsi="仿宋" w:eastAsia="仿宋" w:cs="仿宋"/>
          <w:b/>
          <w:bCs/>
          <w:color w:val="000000"/>
          <w:kern w:val="2"/>
          <w:sz w:val="20"/>
          <w:szCs w:val="20"/>
          <w:lang w:val="en-US" w:eastAsia="zh-CN" w:bidi="ar-SA"/>
        </w:rPr>
        <w:t>表3-</w:t>
      </w:r>
      <w:r>
        <w:rPr>
          <w:rFonts w:hint="default" w:ascii="仿宋" w:hAnsi="仿宋" w:eastAsia="仿宋" w:cs="仿宋"/>
          <w:b/>
          <w:bCs/>
          <w:color w:val="000000"/>
          <w:kern w:val="2"/>
          <w:sz w:val="20"/>
          <w:szCs w:val="20"/>
          <w:lang w:val="en-US" w:eastAsia="zh-CN" w:bidi="ar-SA"/>
        </w:rPr>
        <w:t>2</w:t>
      </w:r>
      <w:r>
        <w:rPr>
          <w:rFonts w:hint="eastAsia" w:ascii="仿宋" w:hAnsi="仿宋" w:eastAsia="仿宋" w:cs="仿宋"/>
          <w:b/>
          <w:bCs/>
          <w:color w:val="000000"/>
          <w:kern w:val="2"/>
          <w:sz w:val="20"/>
          <w:szCs w:val="20"/>
          <w:lang w:val="en-US" w:eastAsia="zh-CN" w:bidi="ar-SA"/>
        </w:rPr>
        <w:t xml:space="preserve"> 赛项模块主要内容、比赛时长及分值</w:t>
      </w:r>
    </w:p>
    <w:tbl>
      <w:tblPr>
        <w:tblStyle w:val="11"/>
        <w:tblW w:w="99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0"/>
        <w:gridCol w:w="943"/>
        <w:gridCol w:w="5060"/>
        <w:gridCol w:w="2128"/>
        <w:gridCol w:w="941"/>
      </w:tblGrid>
      <w:tr w14:paraId="2B979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793" w:type="dxa"/>
            <w:gridSpan w:val="2"/>
            <w:noWrap w:val="0"/>
            <w:vAlign w:val="center"/>
          </w:tcPr>
          <w:p w14:paraId="64BB0C1E">
            <w:pPr>
              <w:pStyle w:val="4"/>
              <w:spacing w:line="300" w:lineRule="exact"/>
              <w:jc w:val="center"/>
              <w:rPr>
                <w:rFonts w:hint="eastAsia" w:ascii="仿宋" w:hAnsi="仿宋" w:eastAsia="仿宋" w:cs="仿宋"/>
                <w:b/>
                <w:bCs/>
                <w:color w:val="auto"/>
                <w:kern w:val="0"/>
                <w:sz w:val="20"/>
                <w:szCs w:val="20"/>
              </w:rPr>
            </w:pPr>
            <w:r>
              <w:rPr>
                <w:rFonts w:hint="eastAsia" w:ascii="仿宋" w:hAnsi="仿宋" w:eastAsia="仿宋" w:cs="仿宋"/>
                <w:b/>
                <w:bCs/>
                <w:color w:val="auto"/>
                <w:kern w:val="0"/>
                <w:sz w:val="20"/>
                <w:szCs w:val="20"/>
              </w:rPr>
              <w:t>模块</w:t>
            </w:r>
          </w:p>
        </w:tc>
        <w:tc>
          <w:tcPr>
            <w:tcW w:w="5060" w:type="dxa"/>
            <w:noWrap w:val="0"/>
            <w:vAlign w:val="center"/>
          </w:tcPr>
          <w:p w14:paraId="64B72E6A">
            <w:pPr>
              <w:pStyle w:val="4"/>
              <w:spacing w:line="300" w:lineRule="exact"/>
              <w:jc w:val="center"/>
              <w:rPr>
                <w:rFonts w:hint="eastAsia" w:ascii="仿宋" w:hAnsi="仿宋" w:eastAsia="仿宋" w:cs="仿宋"/>
                <w:b/>
                <w:bCs/>
                <w:color w:val="auto"/>
                <w:kern w:val="0"/>
                <w:sz w:val="20"/>
                <w:szCs w:val="20"/>
              </w:rPr>
            </w:pPr>
            <w:r>
              <w:rPr>
                <w:rFonts w:hint="eastAsia" w:ascii="仿宋" w:hAnsi="仿宋" w:eastAsia="仿宋" w:cs="仿宋"/>
                <w:b/>
                <w:bCs/>
                <w:color w:val="auto"/>
                <w:kern w:val="0"/>
                <w:sz w:val="20"/>
                <w:szCs w:val="20"/>
              </w:rPr>
              <w:t>主要内容</w:t>
            </w:r>
          </w:p>
        </w:tc>
        <w:tc>
          <w:tcPr>
            <w:tcW w:w="2128" w:type="dxa"/>
            <w:noWrap w:val="0"/>
            <w:vAlign w:val="center"/>
          </w:tcPr>
          <w:p w14:paraId="5FDF6693">
            <w:pPr>
              <w:pStyle w:val="4"/>
              <w:spacing w:line="300" w:lineRule="exact"/>
              <w:jc w:val="center"/>
              <w:rPr>
                <w:rFonts w:hint="eastAsia" w:ascii="仿宋" w:hAnsi="仿宋" w:eastAsia="仿宋" w:cs="仿宋"/>
                <w:b/>
                <w:bCs/>
                <w:color w:val="auto"/>
                <w:kern w:val="0"/>
                <w:sz w:val="20"/>
                <w:szCs w:val="20"/>
              </w:rPr>
            </w:pPr>
            <w:r>
              <w:rPr>
                <w:rFonts w:hint="eastAsia" w:ascii="仿宋" w:hAnsi="仿宋" w:eastAsia="仿宋" w:cs="仿宋"/>
                <w:b/>
                <w:bCs/>
                <w:color w:val="auto"/>
                <w:kern w:val="0"/>
                <w:sz w:val="20"/>
                <w:szCs w:val="20"/>
              </w:rPr>
              <w:t>比赛时长</w:t>
            </w:r>
          </w:p>
        </w:tc>
        <w:tc>
          <w:tcPr>
            <w:tcW w:w="941" w:type="dxa"/>
            <w:noWrap w:val="0"/>
            <w:vAlign w:val="center"/>
          </w:tcPr>
          <w:p w14:paraId="7AD38219">
            <w:pPr>
              <w:pStyle w:val="4"/>
              <w:spacing w:line="300" w:lineRule="exact"/>
              <w:jc w:val="center"/>
              <w:rPr>
                <w:rFonts w:hint="eastAsia" w:ascii="仿宋" w:hAnsi="仿宋" w:eastAsia="仿宋" w:cs="仿宋"/>
                <w:b/>
                <w:bCs/>
                <w:color w:val="auto"/>
                <w:kern w:val="0"/>
                <w:sz w:val="20"/>
                <w:szCs w:val="20"/>
              </w:rPr>
            </w:pPr>
            <w:r>
              <w:rPr>
                <w:rFonts w:hint="eastAsia" w:ascii="仿宋" w:hAnsi="仿宋" w:eastAsia="仿宋" w:cs="仿宋"/>
                <w:b/>
                <w:bCs/>
                <w:color w:val="auto"/>
                <w:kern w:val="0"/>
                <w:sz w:val="20"/>
                <w:szCs w:val="20"/>
              </w:rPr>
              <w:t>分值</w:t>
            </w:r>
          </w:p>
        </w:tc>
      </w:tr>
      <w:tr w14:paraId="14C66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38D6DA08">
            <w:pPr>
              <w:adjustRightInd w:val="0"/>
              <w:snapToGrid w:val="0"/>
              <w:spacing w:line="240" w:lineRule="auto"/>
              <w:ind w:right="210" w:rightChars="100"/>
              <w:jc w:val="center"/>
              <w:rPr>
                <w:rFonts w:hint="eastAsia" w:ascii="仿宋" w:hAnsi="仿宋" w:eastAsia="仿宋" w:cs="仿宋"/>
                <w:b/>
                <w:sz w:val="20"/>
                <w:szCs w:val="20"/>
              </w:rPr>
            </w:pPr>
            <w:r>
              <w:rPr>
                <w:rFonts w:hint="eastAsia" w:ascii="仿宋" w:hAnsi="仿宋" w:eastAsia="仿宋" w:cs="仿宋"/>
                <w:b/>
                <w:sz w:val="20"/>
                <w:szCs w:val="20"/>
              </w:rPr>
              <w:t>模块一</w:t>
            </w:r>
          </w:p>
        </w:tc>
        <w:tc>
          <w:tcPr>
            <w:tcW w:w="943" w:type="dxa"/>
            <w:noWrap w:val="0"/>
            <w:vAlign w:val="center"/>
          </w:tcPr>
          <w:p w14:paraId="7F92B1FE">
            <w:pPr>
              <w:spacing w:line="240" w:lineRule="auto"/>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直播</w:t>
            </w:r>
          </w:p>
          <w:p w14:paraId="1740A935">
            <w:pPr>
              <w:spacing w:line="240" w:lineRule="auto"/>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策划</w:t>
            </w:r>
          </w:p>
          <w:p w14:paraId="6F50C894">
            <w:pPr>
              <w:spacing w:line="240" w:lineRule="auto"/>
              <w:jc w:val="center"/>
              <w:rPr>
                <w:rFonts w:hint="eastAsia" w:ascii="仿宋" w:hAnsi="仿宋" w:eastAsia="仿宋" w:cs="仿宋"/>
                <w:color w:val="000000"/>
                <w:kern w:val="0"/>
                <w:sz w:val="20"/>
                <w:szCs w:val="20"/>
                <w:lang w:val="en-US" w:eastAsia="zh-CN" w:bidi="ar-SA"/>
              </w:rPr>
            </w:pPr>
          </w:p>
        </w:tc>
        <w:tc>
          <w:tcPr>
            <w:tcW w:w="5060" w:type="dxa"/>
            <w:noWrap w:val="0"/>
            <w:vAlign w:val="center"/>
          </w:tcPr>
          <w:p w14:paraId="2C2ACACB">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bCs w:val="0"/>
                <w:color w:val="000000"/>
                <w:sz w:val="20"/>
                <w:szCs w:val="20"/>
                <w:lang w:val="en-US" w:eastAsia="zh-CN"/>
              </w:rPr>
            </w:pPr>
            <w:r>
              <w:rPr>
                <w:rFonts w:hint="eastAsia" w:ascii="仿宋" w:hAnsi="仿宋" w:eastAsia="仿宋" w:cs="仿宋"/>
                <w:b/>
                <w:bCs w:val="0"/>
                <w:color w:val="000000"/>
                <w:sz w:val="20"/>
                <w:szCs w:val="20"/>
                <w:lang w:val="en-US" w:eastAsia="zh-CN"/>
              </w:rPr>
              <w:t>任务1：直播商品管理</w:t>
            </w:r>
          </w:p>
          <w:p w14:paraId="24150A6F">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根据商品资料及商品销售数据，完成直播选品，对直播商品进行角色定位，合理规划运营资金，采购直播商品并定价，制定直播销售策略，做好直播商品管理工作。</w:t>
            </w:r>
          </w:p>
          <w:p w14:paraId="229F10BA">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bCs w:val="0"/>
                <w:color w:val="000000"/>
                <w:sz w:val="20"/>
                <w:szCs w:val="20"/>
                <w:lang w:val="en-US" w:eastAsia="zh-CN"/>
              </w:rPr>
            </w:pPr>
            <w:r>
              <w:rPr>
                <w:rFonts w:hint="eastAsia" w:ascii="仿宋" w:hAnsi="仿宋" w:eastAsia="仿宋" w:cs="仿宋"/>
                <w:b/>
                <w:bCs w:val="0"/>
                <w:color w:val="000000"/>
                <w:sz w:val="20"/>
                <w:szCs w:val="20"/>
                <w:lang w:val="en-US" w:eastAsia="zh-CN"/>
              </w:rPr>
              <w:t>任务2：直播内容策划</w:t>
            </w:r>
          </w:p>
          <w:p w14:paraId="693AFDE7">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根据市场数据及直播商品，确定直播主题和直播时间，策划直播互动方案。根据商品资料及直播主题，设计直播流程，提炼商品卖点，完成整场直播脚本的撰写。</w:t>
            </w:r>
          </w:p>
          <w:p w14:paraId="1F1748FD">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bCs w:val="0"/>
                <w:color w:val="000000"/>
                <w:sz w:val="20"/>
                <w:szCs w:val="20"/>
                <w:lang w:val="en-US" w:eastAsia="zh-CN"/>
              </w:rPr>
            </w:pPr>
            <w:r>
              <w:rPr>
                <w:rFonts w:hint="eastAsia" w:ascii="仿宋" w:hAnsi="仿宋" w:eastAsia="仿宋" w:cs="仿宋"/>
                <w:b/>
                <w:bCs w:val="0"/>
                <w:color w:val="000000"/>
                <w:sz w:val="20"/>
                <w:szCs w:val="20"/>
                <w:lang w:val="en-US" w:eastAsia="zh-CN"/>
              </w:rPr>
              <w:t>任务3：直播推广策划</w:t>
            </w:r>
          </w:p>
          <w:p w14:paraId="03C006A0">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根据直播推广需求，分析行业数据，明确目标受众画像，合理规划推广资金，制定直播推广策略，进行直播广告投放，完成直播推广，以提升直播间的展现量、点击量和点击率。</w:t>
            </w:r>
          </w:p>
        </w:tc>
        <w:tc>
          <w:tcPr>
            <w:tcW w:w="2128" w:type="dxa"/>
            <w:noWrap w:val="0"/>
            <w:vAlign w:val="center"/>
          </w:tcPr>
          <w:p w14:paraId="070DE227">
            <w:pPr>
              <w:adjustRightInd w:val="0"/>
              <w:snapToGrid w:val="0"/>
              <w:spacing w:line="240" w:lineRule="auto"/>
              <w:ind w:right="8" w:rightChars="0"/>
              <w:jc w:val="center"/>
              <w:rPr>
                <w:rFonts w:hint="eastAsia" w:ascii="仿宋" w:hAnsi="仿宋" w:eastAsia="仿宋" w:cs="仿宋"/>
                <w:b/>
                <w:sz w:val="20"/>
                <w:szCs w:val="20"/>
                <w:lang w:val="en-US" w:eastAsia="zh-CN"/>
              </w:rPr>
            </w:pPr>
            <w:r>
              <w:rPr>
                <w:rFonts w:hint="eastAsia" w:ascii="仿宋" w:hAnsi="仿宋" w:eastAsia="仿宋" w:cs="仿宋"/>
                <w:b/>
                <w:sz w:val="20"/>
                <w:szCs w:val="20"/>
                <w:lang w:val="en-US" w:eastAsia="zh-CN"/>
              </w:rPr>
              <w:t>90分钟</w:t>
            </w:r>
          </w:p>
        </w:tc>
        <w:tc>
          <w:tcPr>
            <w:tcW w:w="941" w:type="dxa"/>
            <w:noWrap w:val="0"/>
            <w:vAlign w:val="center"/>
          </w:tcPr>
          <w:p w14:paraId="67DEB298">
            <w:pPr>
              <w:pStyle w:val="10"/>
              <w:spacing w:line="240" w:lineRule="auto"/>
              <w:ind w:left="0" w:leftChars="0" w:firstLine="0" w:firstLineChars="0"/>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30分</w:t>
            </w:r>
          </w:p>
        </w:tc>
      </w:tr>
      <w:tr w14:paraId="423B7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06026EF1">
            <w:pPr>
              <w:adjustRightInd w:val="0"/>
              <w:snapToGrid w:val="0"/>
              <w:spacing w:line="240" w:lineRule="auto"/>
              <w:ind w:right="210" w:rightChars="100"/>
              <w:jc w:val="center"/>
              <w:rPr>
                <w:rFonts w:hint="eastAsia" w:ascii="仿宋" w:hAnsi="仿宋" w:eastAsia="仿宋" w:cs="仿宋"/>
                <w:b/>
                <w:sz w:val="20"/>
                <w:szCs w:val="20"/>
              </w:rPr>
            </w:pPr>
            <w:r>
              <w:rPr>
                <w:rFonts w:hint="eastAsia" w:ascii="仿宋" w:hAnsi="仿宋" w:eastAsia="仿宋" w:cs="仿宋"/>
                <w:b/>
                <w:sz w:val="20"/>
                <w:szCs w:val="20"/>
              </w:rPr>
              <w:t>模块二</w:t>
            </w:r>
          </w:p>
        </w:tc>
        <w:tc>
          <w:tcPr>
            <w:tcW w:w="943" w:type="dxa"/>
            <w:vMerge w:val="restart"/>
            <w:noWrap w:val="0"/>
            <w:vAlign w:val="center"/>
          </w:tcPr>
          <w:p w14:paraId="05D7BB78">
            <w:pPr>
              <w:spacing w:line="240" w:lineRule="auto"/>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直播</w:t>
            </w:r>
          </w:p>
          <w:p w14:paraId="00DD1E37">
            <w:pPr>
              <w:spacing w:line="240" w:lineRule="auto"/>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运营</w:t>
            </w:r>
          </w:p>
        </w:tc>
        <w:tc>
          <w:tcPr>
            <w:tcW w:w="5060" w:type="dxa"/>
            <w:tcBorders>
              <w:bottom w:val="single" w:color="auto" w:sz="4" w:space="0"/>
              <w:right w:val="single" w:color="auto" w:sz="4" w:space="0"/>
            </w:tcBorders>
            <w:noWrap w:val="0"/>
            <w:vAlign w:val="center"/>
          </w:tcPr>
          <w:p w14:paraId="190D1541">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bCs w:val="0"/>
                <w:color w:val="000000"/>
                <w:sz w:val="20"/>
                <w:szCs w:val="20"/>
                <w:lang w:val="en-US" w:eastAsia="zh-CN"/>
              </w:rPr>
            </w:pPr>
            <w:r>
              <w:rPr>
                <w:rFonts w:hint="eastAsia" w:ascii="仿宋" w:hAnsi="仿宋" w:eastAsia="仿宋" w:cs="仿宋"/>
                <w:b/>
                <w:bCs w:val="0"/>
                <w:color w:val="000000"/>
                <w:sz w:val="20"/>
                <w:szCs w:val="20"/>
                <w:lang w:val="en-US" w:eastAsia="zh-CN"/>
              </w:rPr>
              <w:t>任务1：直播间装修</w:t>
            </w:r>
          </w:p>
          <w:p w14:paraId="77A2C992">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根据直播策划内容，搭建直播间，并对直播间进行装修，设置直播间欢迎语、直播间屏蔽词、直播间快捷短语、直播间信息以及直播商品详情页等内容。</w:t>
            </w:r>
          </w:p>
        </w:tc>
        <w:tc>
          <w:tcPr>
            <w:tcW w:w="2128" w:type="dxa"/>
            <w:tcBorders>
              <w:left w:val="single" w:color="auto" w:sz="4" w:space="0"/>
              <w:bottom w:val="single" w:color="auto" w:sz="4" w:space="0"/>
            </w:tcBorders>
            <w:noWrap w:val="0"/>
            <w:vAlign w:val="center"/>
          </w:tcPr>
          <w:p w14:paraId="7EF99595">
            <w:pPr>
              <w:adjustRightInd w:val="0"/>
              <w:snapToGrid w:val="0"/>
              <w:spacing w:line="240" w:lineRule="auto"/>
              <w:ind w:right="8" w:rightChars="0"/>
              <w:jc w:val="center"/>
              <w:rPr>
                <w:rFonts w:hint="eastAsia" w:ascii="仿宋" w:hAnsi="仿宋" w:eastAsia="仿宋" w:cs="仿宋"/>
                <w:b/>
                <w:sz w:val="20"/>
                <w:szCs w:val="20"/>
                <w:lang w:val="en-US" w:eastAsia="zh-CN"/>
              </w:rPr>
            </w:pPr>
            <w:r>
              <w:rPr>
                <w:rFonts w:hint="eastAsia" w:ascii="仿宋" w:hAnsi="仿宋" w:eastAsia="仿宋" w:cs="仿宋"/>
                <w:b/>
                <w:sz w:val="20"/>
                <w:szCs w:val="20"/>
                <w:lang w:val="en-US" w:eastAsia="zh-CN"/>
              </w:rPr>
              <w:t>30分钟</w:t>
            </w:r>
          </w:p>
        </w:tc>
        <w:tc>
          <w:tcPr>
            <w:tcW w:w="941" w:type="dxa"/>
            <w:vMerge w:val="restart"/>
            <w:noWrap w:val="0"/>
            <w:vAlign w:val="center"/>
          </w:tcPr>
          <w:p w14:paraId="3D8A5242">
            <w:pPr>
              <w:pStyle w:val="10"/>
              <w:spacing w:line="240" w:lineRule="auto"/>
              <w:ind w:left="0" w:leftChars="0" w:firstLine="0" w:firstLineChars="0"/>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50分</w:t>
            </w:r>
          </w:p>
        </w:tc>
      </w:tr>
      <w:tr w14:paraId="52D72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9" w:hRule="atLeast"/>
          <w:jc w:val="center"/>
        </w:trPr>
        <w:tc>
          <w:tcPr>
            <w:tcW w:w="850" w:type="dxa"/>
            <w:vMerge w:val="continue"/>
            <w:tcBorders>
              <w:bottom w:val="single" w:color="auto" w:sz="4" w:space="0"/>
            </w:tcBorders>
            <w:noWrap w:val="0"/>
            <w:vAlign w:val="center"/>
          </w:tcPr>
          <w:p w14:paraId="58E5FC16">
            <w:pPr>
              <w:adjustRightInd w:val="0"/>
              <w:snapToGrid w:val="0"/>
              <w:spacing w:line="240" w:lineRule="auto"/>
              <w:ind w:right="210" w:rightChars="100"/>
              <w:jc w:val="center"/>
              <w:rPr>
                <w:rFonts w:hint="eastAsia" w:ascii="仿宋" w:hAnsi="仿宋" w:eastAsia="仿宋" w:cs="仿宋"/>
                <w:b/>
                <w:sz w:val="20"/>
                <w:szCs w:val="20"/>
              </w:rPr>
            </w:pPr>
          </w:p>
        </w:tc>
        <w:tc>
          <w:tcPr>
            <w:tcW w:w="943" w:type="dxa"/>
            <w:vMerge w:val="continue"/>
            <w:tcBorders>
              <w:bottom w:val="single" w:color="auto" w:sz="4" w:space="0"/>
            </w:tcBorders>
            <w:noWrap w:val="0"/>
            <w:vAlign w:val="center"/>
          </w:tcPr>
          <w:p w14:paraId="77F6398A">
            <w:pPr>
              <w:spacing w:line="240" w:lineRule="auto"/>
              <w:jc w:val="center"/>
              <w:rPr>
                <w:rFonts w:hint="eastAsia" w:ascii="仿宋" w:hAnsi="仿宋" w:eastAsia="仿宋" w:cs="仿宋"/>
                <w:color w:val="000000"/>
                <w:kern w:val="0"/>
                <w:sz w:val="20"/>
                <w:szCs w:val="20"/>
                <w:lang w:val="en-US" w:eastAsia="zh-CN" w:bidi="ar-SA"/>
              </w:rPr>
            </w:pPr>
          </w:p>
        </w:tc>
        <w:tc>
          <w:tcPr>
            <w:tcW w:w="5060" w:type="dxa"/>
            <w:tcBorders>
              <w:top w:val="single" w:color="auto" w:sz="4" w:space="0"/>
              <w:bottom w:val="single" w:color="auto" w:sz="4" w:space="0"/>
              <w:right w:val="single" w:color="auto" w:sz="4" w:space="0"/>
            </w:tcBorders>
            <w:noWrap w:val="0"/>
            <w:vAlign w:val="center"/>
          </w:tcPr>
          <w:p w14:paraId="7327018F">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bCs w:val="0"/>
                <w:color w:val="000000"/>
                <w:sz w:val="20"/>
                <w:szCs w:val="20"/>
                <w:lang w:val="en-US" w:eastAsia="zh-CN"/>
              </w:rPr>
            </w:pPr>
            <w:r>
              <w:rPr>
                <w:rFonts w:hint="eastAsia" w:ascii="仿宋" w:hAnsi="仿宋" w:eastAsia="仿宋" w:cs="仿宋"/>
                <w:b/>
                <w:bCs w:val="0"/>
                <w:color w:val="000000"/>
                <w:sz w:val="20"/>
                <w:szCs w:val="20"/>
                <w:lang w:val="en-US" w:eastAsia="zh-CN"/>
              </w:rPr>
              <w:t>任务2：直播销售</w:t>
            </w:r>
          </w:p>
          <w:p w14:paraId="610E9678">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根据直播脚本，完成直播销售讲解，包括直播开场、商品销售促单以及直播收尾等内容，并在直播过程中上架商品链接。</w:t>
            </w:r>
          </w:p>
          <w:p w14:paraId="2C1475CE">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bCs w:val="0"/>
                <w:color w:val="000000"/>
                <w:sz w:val="20"/>
                <w:szCs w:val="20"/>
                <w:lang w:val="en-US" w:eastAsia="zh-CN"/>
              </w:rPr>
            </w:pPr>
            <w:r>
              <w:rPr>
                <w:rFonts w:hint="eastAsia" w:ascii="仿宋" w:hAnsi="仿宋" w:eastAsia="仿宋" w:cs="仿宋"/>
                <w:b/>
                <w:bCs w:val="0"/>
                <w:color w:val="000000"/>
                <w:sz w:val="20"/>
                <w:szCs w:val="20"/>
                <w:lang w:val="en-US" w:eastAsia="zh-CN"/>
              </w:rPr>
              <w:t>任务3：直播互动</w:t>
            </w:r>
          </w:p>
          <w:p w14:paraId="1B832CFA">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根据直播互动方案，在直播后台完成直播互动的预设。在直播过程中，积极与观众抽奖、发红包等福利互动以及弹幕互动，活跃直播间氛围，同时配合主播讲解进度，完成直播互动推送。</w:t>
            </w:r>
          </w:p>
        </w:tc>
        <w:tc>
          <w:tcPr>
            <w:tcW w:w="2128" w:type="dxa"/>
            <w:tcBorders>
              <w:top w:val="single" w:color="auto" w:sz="4" w:space="0"/>
              <w:left w:val="single" w:color="auto" w:sz="4" w:space="0"/>
              <w:bottom w:val="single" w:color="auto" w:sz="4" w:space="0"/>
            </w:tcBorders>
            <w:noWrap w:val="0"/>
            <w:vAlign w:val="center"/>
          </w:tcPr>
          <w:p w14:paraId="33290B8E">
            <w:pPr>
              <w:adjustRightInd w:val="0"/>
              <w:snapToGrid w:val="0"/>
              <w:spacing w:line="240" w:lineRule="auto"/>
              <w:ind w:right="8" w:rightChars="0"/>
              <w:jc w:val="center"/>
              <w:rPr>
                <w:rFonts w:hint="eastAsia" w:ascii="仿宋" w:hAnsi="仿宋" w:eastAsia="仿宋" w:cs="仿宋"/>
                <w:b/>
                <w:sz w:val="20"/>
                <w:szCs w:val="20"/>
                <w:lang w:val="en-US" w:eastAsia="zh-CN"/>
              </w:rPr>
            </w:pPr>
            <w:r>
              <w:rPr>
                <w:rFonts w:hint="eastAsia" w:ascii="仿宋" w:hAnsi="仿宋" w:eastAsia="仿宋" w:cs="仿宋"/>
                <w:b/>
                <w:sz w:val="20"/>
                <w:szCs w:val="20"/>
                <w:lang w:val="en-US" w:eastAsia="zh-CN"/>
              </w:rPr>
              <w:t>60分钟</w:t>
            </w:r>
          </w:p>
        </w:tc>
        <w:tc>
          <w:tcPr>
            <w:tcW w:w="941" w:type="dxa"/>
            <w:vMerge w:val="continue"/>
            <w:tcBorders>
              <w:bottom w:val="single" w:color="auto" w:sz="4" w:space="0"/>
            </w:tcBorders>
            <w:noWrap w:val="0"/>
            <w:vAlign w:val="center"/>
          </w:tcPr>
          <w:p w14:paraId="3DA8CCF0">
            <w:pPr>
              <w:pStyle w:val="10"/>
              <w:spacing w:line="240" w:lineRule="auto"/>
              <w:ind w:left="0" w:leftChars="0" w:firstLine="0" w:firstLineChars="0"/>
              <w:jc w:val="center"/>
              <w:rPr>
                <w:rFonts w:hint="eastAsia" w:ascii="仿宋" w:hAnsi="仿宋" w:eastAsia="仿宋" w:cs="仿宋"/>
                <w:sz w:val="20"/>
                <w:szCs w:val="20"/>
                <w:lang w:val="en-US" w:eastAsia="zh-CN"/>
              </w:rPr>
            </w:pPr>
          </w:p>
        </w:tc>
      </w:tr>
      <w:tr w14:paraId="2A1E9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5" w:hRule="atLeast"/>
          <w:jc w:val="center"/>
        </w:trPr>
        <w:tc>
          <w:tcPr>
            <w:tcW w:w="850" w:type="dxa"/>
            <w:tcBorders>
              <w:top w:val="single" w:color="auto" w:sz="4" w:space="0"/>
              <w:left w:val="single" w:color="auto" w:sz="4" w:space="0"/>
              <w:bottom w:val="single" w:color="auto" w:sz="4" w:space="0"/>
              <w:right w:val="single" w:color="auto" w:sz="4" w:space="0"/>
            </w:tcBorders>
            <w:noWrap w:val="0"/>
            <w:vAlign w:val="center"/>
          </w:tcPr>
          <w:p w14:paraId="7C6FD0BC">
            <w:pPr>
              <w:adjustRightInd w:val="0"/>
              <w:snapToGrid w:val="0"/>
              <w:spacing w:line="240" w:lineRule="auto"/>
              <w:ind w:right="210" w:rightChars="100"/>
              <w:jc w:val="center"/>
              <w:rPr>
                <w:rFonts w:hint="eastAsia" w:ascii="仿宋" w:hAnsi="仿宋" w:eastAsia="仿宋" w:cs="仿宋"/>
                <w:b/>
                <w:sz w:val="20"/>
                <w:szCs w:val="20"/>
              </w:rPr>
            </w:pPr>
            <w:r>
              <w:rPr>
                <w:rFonts w:hint="eastAsia" w:ascii="仿宋" w:hAnsi="仿宋" w:eastAsia="仿宋" w:cs="仿宋"/>
                <w:b/>
                <w:sz w:val="20"/>
                <w:szCs w:val="20"/>
              </w:rPr>
              <w:t>模块三</w:t>
            </w:r>
          </w:p>
        </w:tc>
        <w:tc>
          <w:tcPr>
            <w:tcW w:w="943" w:type="dxa"/>
            <w:tcBorders>
              <w:top w:val="single" w:color="auto" w:sz="4" w:space="0"/>
              <w:left w:val="single" w:color="auto" w:sz="4" w:space="0"/>
              <w:bottom w:val="single" w:color="auto" w:sz="4" w:space="0"/>
              <w:right w:val="single" w:color="auto" w:sz="4" w:space="0"/>
            </w:tcBorders>
            <w:noWrap w:val="0"/>
            <w:vAlign w:val="center"/>
          </w:tcPr>
          <w:p w14:paraId="29AD4002">
            <w:pPr>
              <w:spacing w:line="240" w:lineRule="auto"/>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直播</w:t>
            </w:r>
          </w:p>
          <w:p w14:paraId="701F5A20">
            <w:pPr>
              <w:spacing w:line="240" w:lineRule="auto"/>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复盘</w:t>
            </w:r>
          </w:p>
        </w:tc>
        <w:tc>
          <w:tcPr>
            <w:tcW w:w="5060" w:type="dxa"/>
            <w:tcBorders>
              <w:top w:val="single" w:color="auto" w:sz="4" w:space="0"/>
              <w:left w:val="single" w:color="auto" w:sz="4" w:space="0"/>
              <w:bottom w:val="single" w:color="auto" w:sz="4" w:space="0"/>
              <w:right w:val="single" w:color="auto" w:sz="4" w:space="0"/>
            </w:tcBorders>
            <w:noWrap w:val="0"/>
            <w:vAlign w:val="center"/>
          </w:tcPr>
          <w:p w14:paraId="0D4E9305">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bCs w:val="0"/>
                <w:color w:val="000000"/>
                <w:sz w:val="20"/>
                <w:szCs w:val="20"/>
                <w:lang w:val="en-US" w:eastAsia="zh-CN"/>
              </w:rPr>
            </w:pPr>
            <w:r>
              <w:rPr>
                <w:rFonts w:hint="eastAsia" w:ascii="仿宋" w:hAnsi="仿宋" w:eastAsia="仿宋" w:cs="仿宋"/>
                <w:b/>
                <w:bCs w:val="0"/>
                <w:color w:val="000000"/>
                <w:sz w:val="20"/>
                <w:szCs w:val="20"/>
                <w:lang w:val="en-US" w:eastAsia="zh-CN"/>
              </w:rPr>
              <w:t>任务1：直播数据分析与优化</w:t>
            </w:r>
          </w:p>
          <w:p w14:paraId="77364EC6">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准确分析直播平台后台的流量、销售、用户等数据，提炼直播及推广亮点与不足，合理设计优化方案，形成PPT。</w:t>
            </w:r>
          </w:p>
        </w:tc>
        <w:tc>
          <w:tcPr>
            <w:tcW w:w="2128" w:type="dxa"/>
            <w:tcBorders>
              <w:top w:val="single" w:color="auto" w:sz="4" w:space="0"/>
              <w:left w:val="single" w:color="auto" w:sz="4" w:space="0"/>
              <w:bottom w:val="single" w:color="auto" w:sz="4" w:space="0"/>
              <w:right w:val="single" w:color="auto" w:sz="4" w:space="0"/>
            </w:tcBorders>
            <w:noWrap w:val="0"/>
            <w:vAlign w:val="center"/>
          </w:tcPr>
          <w:p w14:paraId="7EDE18E0">
            <w:pPr>
              <w:adjustRightInd w:val="0"/>
              <w:snapToGrid w:val="0"/>
              <w:spacing w:line="240" w:lineRule="auto"/>
              <w:ind w:right="8" w:rightChars="0"/>
              <w:jc w:val="center"/>
              <w:rPr>
                <w:rFonts w:hint="eastAsia" w:ascii="仿宋" w:hAnsi="仿宋" w:eastAsia="仿宋" w:cs="仿宋"/>
                <w:b/>
                <w:sz w:val="20"/>
                <w:szCs w:val="20"/>
                <w:lang w:val="en-US" w:eastAsia="zh-CN"/>
              </w:rPr>
            </w:pPr>
            <w:r>
              <w:rPr>
                <w:rFonts w:hint="eastAsia" w:ascii="仿宋" w:hAnsi="仿宋" w:eastAsia="仿宋" w:cs="仿宋"/>
                <w:b/>
                <w:sz w:val="20"/>
                <w:szCs w:val="20"/>
                <w:lang w:val="en-US" w:eastAsia="zh-CN"/>
              </w:rPr>
              <w:t>60分钟</w:t>
            </w:r>
          </w:p>
        </w:tc>
        <w:tc>
          <w:tcPr>
            <w:tcW w:w="941" w:type="dxa"/>
            <w:tcBorders>
              <w:top w:val="single" w:color="auto" w:sz="4" w:space="0"/>
              <w:left w:val="single" w:color="auto" w:sz="4" w:space="0"/>
              <w:bottom w:val="single" w:color="auto" w:sz="4" w:space="0"/>
              <w:right w:val="single" w:color="auto" w:sz="4" w:space="0"/>
            </w:tcBorders>
            <w:noWrap w:val="0"/>
            <w:vAlign w:val="center"/>
          </w:tcPr>
          <w:p w14:paraId="1A3E6197">
            <w:pPr>
              <w:pStyle w:val="10"/>
              <w:spacing w:line="240" w:lineRule="auto"/>
              <w:ind w:left="0" w:leftChars="0" w:firstLine="0" w:firstLineChars="0"/>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20分</w:t>
            </w:r>
          </w:p>
        </w:tc>
      </w:tr>
    </w:tbl>
    <w:p w14:paraId="37C963F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rPr>
      </w:pPr>
      <w:r>
        <w:rPr>
          <w:rFonts w:hint="eastAsia" w:ascii="黑体" w:hAnsi="黑体" w:eastAsia="黑体" w:cs="黑体"/>
          <w:spacing w:val="16"/>
          <w:sz w:val="30"/>
          <w:szCs w:val="30"/>
          <w:lang w:val="en-US" w:eastAsia="zh-CN"/>
        </w:rPr>
        <w:t>四、</w:t>
      </w:r>
      <w:r>
        <w:rPr>
          <w:rFonts w:hint="eastAsia" w:ascii="黑体" w:hAnsi="黑体" w:eastAsia="黑体" w:cs="黑体"/>
          <w:spacing w:val="16"/>
          <w:sz w:val="30"/>
          <w:szCs w:val="30"/>
        </w:rPr>
        <w:t>竞赛方式</w:t>
      </w:r>
    </w:p>
    <w:p w14:paraId="6530728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1.竞赛以团队方式进行，不计算选手个人成绩，统计参赛队的总成绩并进行排序。</w:t>
      </w:r>
    </w:p>
    <w:p w14:paraId="2D85DCA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highlight w:val="yellow"/>
          <w:lang w:val="en-US" w:eastAsia="zh-CN"/>
        </w:rPr>
      </w:pPr>
      <w:r>
        <w:rPr>
          <w:rFonts w:hint="eastAsia" w:ascii="仿宋" w:hAnsi="仿宋" w:eastAsia="仿宋" w:cs="仿宋"/>
          <w:bCs/>
          <w:color w:val="000000"/>
          <w:kern w:val="0"/>
          <w:sz w:val="28"/>
          <w:szCs w:val="28"/>
          <w:lang w:val="en-US" w:eastAsia="zh-CN"/>
        </w:rPr>
        <w:t>2.</w:t>
      </w:r>
      <w:r>
        <w:rPr>
          <w:rFonts w:hint="eastAsia" w:ascii="仿宋" w:hAnsi="仿宋" w:eastAsia="仿宋" w:cs="仿宋"/>
          <w:bCs/>
          <w:color w:val="000000"/>
          <w:kern w:val="0"/>
          <w:sz w:val="28"/>
          <w:szCs w:val="28"/>
          <w:highlight w:val="yellow"/>
          <w:lang w:val="en-US" w:eastAsia="zh-CN"/>
        </w:rPr>
        <w:t>每支参赛队由 4 名参赛选手组成，4 名选手须为同校在籍学生，其中队长 1 名，性别和年级不限。</w:t>
      </w:r>
    </w:p>
    <w:p w14:paraId="39E238B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3.每支参赛队可配指导教师 2 名，指导教师须为本校专兼职教师。竞赛期间不允许指导教师进入赛场进行现场指导。</w:t>
      </w:r>
    </w:p>
    <w:p w14:paraId="025EA3A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五、竞赛流程</w:t>
      </w:r>
    </w:p>
    <w:p w14:paraId="0DDCDCE9">
      <w:pPr>
        <w:pStyle w:val="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rPr>
          <w:rFonts w:hint="eastAsia" w:ascii="仿宋" w:hAnsi="仿宋" w:eastAsia="仿宋" w:cs="仿宋"/>
          <w:b/>
          <w:bCs/>
          <w:color w:val="000000"/>
          <w:kern w:val="2"/>
          <w:sz w:val="20"/>
          <w:szCs w:val="20"/>
          <w:lang w:val="en-US" w:eastAsia="zh-CN" w:bidi="ar-SA"/>
        </w:rPr>
      </w:pPr>
      <w:r>
        <w:rPr>
          <w:rFonts w:hint="eastAsia" w:ascii="仿宋" w:hAnsi="仿宋" w:eastAsia="仿宋" w:cs="仿宋"/>
          <w:b/>
          <w:bCs/>
          <w:color w:val="000000"/>
          <w:kern w:val="2"/>
          <w:sz w:val="20"/>
          <w:szCs w:val="20"/>
          <w:lang w:val="en-US" w:eastAsia="zh-CN" w:bidi="ar-SA"/>
        </w:rPr>
        <w:t>表5-1竞赛流程与时间安排</w:t>
      </w:r>
    </w:p>
    <w:tbl>
      <w:tblPr>
        <w:tblStyle w:val="11"/>
        <w:tblW w:w="94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776"/>
        <w:gridCol w:w="2710"/>
        <w:gridCol w:w="2506"/>
        <w:gridCol w:w="1381"/>
      </w:tblGrid>
      <w:tr w14:paraId="3B4798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noWrap w:val="0"/>
            <w:vAlign w:val="center"/>
          </w:tcPr>
          <w:p w14:paraId="3CB567A2">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日期</w:t>
            </w:r>
          </w:p>
        </w:tc>
        <w:tc>
          <w:tcPr>
            <w:tcW w:w="1776" w:type="dxa"/>
            <w:noWrap w:val="0"/>
            <w:vAlign w:val="center"/>
          </w:tcPr>
          <w:p w14:paraId="3C1E3691">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时间</w:t>
            </w:r>
          </w:p>
        </w:tc>
        <w:tc>
          <w:tcPr>
            <w:tcW w:w="2710" w:type="dxa"/>
            <w:noWrap w:val="0"/>
            <w:vAlign w:val="center"/>
          </w:tcPr>
          <w:p w14:paraId="564DE8F9">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事项</w:t>
            </w:r>
          </w:p>
        </w:tc>
        <w:tc>
          <w:tcPr>
            <w:tcW w:w="2506" w:type="dxa"/>
            <w:noWrap w:val="0"/>
            <w:vAlign w:val="center"/>
          </w:tcPr>
          <w:p w14:paraId="5C77821A">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参加人员</w:t>
            </w:r>
          </w:p>
        </w:tc>
        <w:tc>
          <w:tcPr>
            <w:tcW w:w="1381" w:type="dxa"/>
            <w:noWrap w:val="0"/>
            <w:vAlign w:val="center"/>
          </w:tcPr>
          <w:p w14:paraId="27266092">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地点</w:t>
            </w:r>
          </w:p>
        </w:tc>
      </w:tr>
      <w:tr w14:paraId="2B0FE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restart"/>
            <w:noWrap w:val="0"/>
            <w:vAlign w:val="center"/>
          </w:tcPr>
          <w:p w14:paraId="058A95DE">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报到日</w:t>
            </w:r>
          </w:p>
        </w:tc>
        <w:tc>
          <w:tcPr>
            <w:tcW w:w="1776" w:type="dxa"/>
            <w:noWrap w:val="0"/>
            <w:vAlign w:val="center"/>
          </w:tcPr>
          <w:p w14:paraId="1DCA4C8C">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14:00-16:00</w:t>
            </w:r>
          </w:p>
        </w:tc>
        <w:tc>
          <w:tcPr>
            <w:tcW w:w="2710" w:type="dxa"/>
            <w:noWrap w:val="0"/>
            <w:vAlign w:val="center"/>
          </w:tcPr>
          <w:p w14:paraId="3A04920A">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参赛队报到，领取资料</w:t>
            </w:r>
          </w:p>
        </w:tc>
        <w:tc>
          <w:tcPr>
            <w:tcW w:w="2506" w:type="dxa"/>
            <w:noWrap w:val="0"/>
            <w:vAlign w:val="center"/>
          </w:tcPr>
          <w:p w14:paraId="34E1CCC4">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工作人员、参赛队</w:t>
            </w:r>
          </w:p>
        </w:tc>
        <w:tc>
          <w:tcPr>
            <w:tcW w:w="1381" w:type="dxa"/>
            <w:noWrap w:val="0"/>
            <w:vAlign w:val="center"/>
          </w:tcPr>
          <w:p w14:paraId="41162837">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会议室</w:t>
            </w:r>
          </w:p>
        </w:tc>
      </w:tr>
      <w:tr w14:paraId="73E5E9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4290EE59">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noWrap w:val="0"/>
            <w:vAlign w:val="center"/>
          </w:tcPr>
          <w:p w14:paraId="564BE1AB">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16:00-16:30</w:t>
            </w:r>
          </w:p>
        </w:tc>
        <w:tc>
          <w:tcPr>
            <w:tcW w:w="2710" w:type="dxa"/>
            <w:noWrap w:val="0"/>
            <w:vAlign w:val="center"/>
          </w:tcPr>
          <w:p w14:paraId="660E8064">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大赛开赛式</w:t>
            </w:r>
          </w:p>
        </w:tc>
        <w:tc>
          <w:tcPr>
            <w:tcW w:w="2506" w:type="dxa"/>
            <w:noWrap w:val="0"/>
            <w:vAlign w:val="center"/>
          </w:tcPr>
          <w:p w14:paraId="24F5B46E">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领导、嘉宾、裁判长、</w:t>
            </w:r>
          </w:p>
          <w:p w14:paraId="3A5FF575">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仲裁长、各参赛队</w:t>
            </w:r>
          </w:p>
        </w:tc>
        <w:tc>
          <w:tcPr>
            <w:tcW w:w="1381" w:type="dxa"/>
            <w:noWrap w:val="0"/>
            <w:vAlign w:val="center"/>
          </w:tcPr>
          <w:p w14:paraId="5A19F33D">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会议室</w:t>
            </w:r>
          </w:p>
        </w:tc>
      </w:tr>
      <w:tr w14:paraId="0DA55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30624542">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noWrap w:val="0"/>
            <w:vAlign w:val="center"/>
          </w:tcPr>
          <w:p w14:paraId="1CBDC4D1">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16:30-17:00</w:t>
            </w:r>
          </w:p>
        </w:tc>
        <w:tc>
          <w:tcPr>
            <w:tcW w:w="2710" w:type="dxa"/>
            <w:noWrap w:val="0"/>
            <w:vAlign w:val="center"/>
          </w:tcPr>
          <w:p w14:paraId="2E0080EB">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领队会议</w:t>
            </w:r>
          </w:p>
        </w:tc>
        <w:tc>
          <w:tcPr>
            <w:tcW w:w="2506" w:type="dxa"/>
            <w:noWrap w:val="0"/>
            <w:vAlign w:val="center"/>
          </w:tcPr>
          <w:p w14:paraId="194D0C7D">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各参赛队领队、裁判长、工作人员</w:t>
            </w:r>
          </w:p>
        </w:tc>
        <w:tc>
          <w:tcPr>
            <w:tcW w:w="1381" w:type="dxa"/>
            <w:noWrap w:val="0"/>
            <w:vAlign w:val="center"/>
          </w:tcPr>
          <w:p w14:paraId="0A4B8290">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会议室</w:t>
            </w:r>
          </w:p>
        </w:tc>
      </w:tr>
      <w:tr w14:paraId="0AB26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063C744B">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noWrap w:val="0"/>
            <w:vAlign w:val="center"/>
          </w:tcPr>
          <w:p w14:paraId="77EC4601">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16:30-17:00</w:t>
            </w:r>
          </w:p>
        </w:tc>
        <w:tc>
          <w:tcPr>
            <w:tcW w:w="2710" w:type="dxa"/>
            <w:noWrap w:val="0"/>
            <w:vAlign w:val="center"/>
          </w:tcPr>
          <w:p w14:paraId="6B1D2829">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熟悉赛场</w:t>
            </w:r>
          </w:p>
        </w:tc>
        <w:tc>
          <w:tcPr>
            <w:tcW w:w="2506" w:type="dxa"/>
            <w:noWrap w:val="0"/>
            <w:vAlign w:val="center"/>
          </w:tcPr>
          <w:p w14:paraId="2CDDBF50">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赛场技术人员、各参赛队</w:t>
            </w:r>
          </w:p>
        </w:tc>
        <w:tc>
          <w:tcPr>
            <w:tcW w:w="1381" w:type="dxa"/>
            <w:noWrap w:val="0"/>
            <w:vAlign w:val="center"/>
          </w:tcPr>
          <w:p w14:paraId="0BF4E66E">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竞赛场地</w:t>
            </w:r>
          </w:p>
        </w:tc>
      </w:tr>
      <w:tr w14:paraId="5213D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restart"/>
            <w:noWrap w:val="0"/>
            <w:vAlign w:val="center"/>
          </w:tcPr>
          <w:p w14:paraId="15D0906C">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竞赛日</w:t>
            </w:r>
          </w:p>
        </w:tc>
        <w:tc>
          <w:tcPr>
            <w:tcW w:w="1776" w:type="dxa"/>
            <w:shd w:val="clear" w:color="auto" w:fill="auto"/>
            <w:noWrap w:val="0"/>
            <w:vAlign w:val="center"/>
          </w:tcPr>
          <w:p w14:paraId="54A08EFB">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08:30-09:10</w:t>
            </w:r>
          </w:p>
        </w:tc>
        <w:tc>
          <w:tcPr>
            <w:tcW w:w="2710" w:type="dxa"/>
            <w:shd w:val="clear" w:color="auto" w:fill="auto"/>
            <w:noWrap w:val="0"/>
            <w:vAlign w:val="center"/>
          </w:tcPr>
          <w:p w14:paraId="725E351B">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大赛检录进场</w:t>
            </w:r>
          </w:p>
          <w:p w14:paraId="316A2CCC">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第一次抽签加密</w:t>
            </w:r>
          </w:p>
        </w:tc>
        <w:tc>
          <w:tcPr>
            <w:tcW w:w="2506" w:type="dxa"/>
            <w:shd w:val="clear" w:color="auto" w:fill="auto"/>
            <w:noWrap w:val="0"/>
            <w:vAlign w:val="center"/>
          </w:tcPr>
          <w:p w14:paraId="11674569">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参赛选手，第一次抽签裁判</w:t>
            </w:r>
          </w:p>
        </w:tc>
        <w:tc>
          <w:tcPr>
            <w:tcW w:w="1381" w:type="dxa"/>
            <w:shd w:val="clear" w:color="auto" w:fill="auto"/>
            <w:noWrap w:val="0"/>
            <w:vAlign w:val="center"/>
          </w:tcPr>
          <w:p w14:paraId="13FBFA44">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一次抽签</w:t>
            </w:r>
          </w:p>
          <w:p w14:paraId="1CADC2C4">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区域</w:t>
            </w:r>
          </w:p>
        </w:tc>
      </w:tr>
      <w:tr w14:paraId="0CFDD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2033CE7A">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shd w:val="clear" w:color="auto" w:fill="auto"/>
            <w:noWrap w:val="0"/>
            <w:vAlign w:val="center"/>
          </w:tcPr>
          <w:p w14:paraId="1A75E777">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09:10-09:40</w:t>
            </w:r>
          </w:p>
        </w:tc>
        <w:tc>
          <w:tcPr>
            <w:tcW w:w="2710" w:type="dxa"/>
            <w:shd w:val="clear" w:color="auto" w:fill="auto"/>
            <w:noWrap w:val="0"/>
            <w:vAlign w:val="center"/>
          </w:tcPr>
          <w:p w14:paraId="35177806">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第二次抽签加密</w:t>
            </w:r>
          </w:p>
          <w:p w14:paraId="2C69DC52">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（抽赛位号）</w:t>
            </w:r>
          </w:p>
        </w:tc>
        <w:tc>
          <w:tcPr>
            <w:tcW w:w="2506" w:type="dxa"/>
            <w:shd w:val="clear" w:color="auto" w:fill="auto"/>
            <w:noWrap w:val="0"/>
            <w:vAlign w:val="center"/>
          </w:tcPr>
          <w:p w14:paraId="78696C26">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参赛选手，第二次抽签裁判</w:t>
            </w:r>
          </w:p>
        </w:tc>
        <w:tc>
          <w:tcPr>
            <w:tcW w:w="1381" w:type="dxa"/>
            <w:shd w:val="clear" w:color="auto" w:fill="auto"/>
            <w:noWrap w:val="0"/>
            <w:vAlign w:val="center"/>
          </w:tcPr>
          <w:p w14:paraId="7F265751">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二次抽签</w:t>
            </w:r>
          </w:p>
          <w:p w14:paraId="74BDB041">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区域</w:t>
            </w:r>
          </w:p>
        </w:tc>
      </w:tr>
      <w:tr w14:paraId="7D1AC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5D1E4A33">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shd w:val="clear" w:color="auto" w:fill="auto"/>
            <w:noWrap w:val="0"/>
            <w:vAlign w:val="center"/>
          </w:tcPr>
          <w:p w14:paraId="6DBF8A13">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09:50-11:20</w:t>
            </w:r>
          </w:p>
        </w:tc>
        <w:tc>
          <w:tcPr>
            <w:tcW w:w="2710" w:type="dxa"/>
            <w:shd w:val="clear" w:color="auto" w:fill="auto"/>
            <w:noWrap w:val="0"/>
            <w:vAlign w:val="center"/>
          </w:tcPr>
          <w:p w14:paraId="01EEEC90">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直播策划</w:t>
            </w:r>
          </w:p>
        </w:tc>
        <w:tc>
          <w:tcPr>
            <w:tcW w:w="2506" w:type="dxa"/>
            <w:shd w:val="clear" w:color="auto" w:fill="auto"/>
            <w:noWrap w:val="0"/>
            <w:vAlign w:val="center"/>
          </w:tcPr>
          <w:p w14:paraId="7F2D9EF8">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参赛选手、裁判</w:t>
            </w:r>
          </w:p>
        </w:tc>
        <w:tc>
          <w:tcPr>
            <w:tcW w:w="1381" w:type="dxa"/>
            <w:shd w:val="clear" w:color="auto" w:fill="auto"/>
            <w:noWrap w:val="0"/>
            <w:vAlign w:val="center"/>
          </w:tcPr>
          <w:p w14:paraId="2615D6E8">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竞赛场地</w:t>
            </w:r>
          </w:p>
        </w:tc>
      </w:tr>
      <w:tr w14:paraId="7F86B2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00CF69CE">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shd w:val="clear" w:color="auto" w:fill="auto"/>
            <w:noWrap w:val="0"/>
            <w:vAlign w:val="center"/>
          </w:tcPr>
          <w:p w14:paraId="3A7A875F">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11:20-11:30</w:t>
            </w:r>
          </w:p>
        </w:tc>
        <w:tc>
          <w:tcPr>
            <w:tcW w:w="2710" w:type="dxa"/>
            <w:shd w:val="clear" w:color="auto" w:fill="auto"/>
            <w:noWrap w:val="0"/>
            <w:vAlign w:val="center"/>
          </w:tcPr>
          <w:p w14:paraId="7F28969B">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直播试播</w:t>
            </w:r>
          </w:p>
        </w:tc>
        <w:tc>
          <w:tcPr>
            <w:tcW w:w="2506" w:type="dxa"/>
            <w:shd w:val="clear" w:color="auto" w:fill="auto"/>
            <w:noWrap w:val="0"/>
            <w:vAlign w:val="center"/>
          </w:tcPr>
          <w:p w14:paraId="39FF7126">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参赛选手、裁判</w:t>
            </w:r>
          </w:p>
        </w:tc>
        <w:tc>
          <w:tcPr>
            <w:tcW w:w="1381" w:type="dxa"/>
            <w:shd w:val="clear" w:color="auto" w:fill="auto"/>
            <w:noWrap w:val="0"/>
            <w:vAlign w:val="center"/>
          </w:tcPr>
          <w:p w14:paraId="0F217493">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竞赛场地</w:t>
            </w:r>
          </w:p>
        </w:tc>
      </w:tr>
      <w:tr w14:paraId="63B312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5CF5BB1C">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shd w:val="clear" w:color="auto" w:fill="auto"/>
            <w:noWrap w:val="0"/>
            <w:vAlign w:val="center"/>
          </w:tcPr>
          <w:p w14:paraId="311EBEA6">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11:30-12:00</w:t>
            </w:r>
          </w:p>
        </w:tc>
        <w:tc>
          <w:tcPr>
            <w:tcW w:w="2710" w:type="dxa"/>
            <w:shd w:val="clear" w:color="auto" w:fill="auto"/>
            <w:noWrap w:val="0"/>
            <w:vAlign w:val="center"/>
          </w:tcPr>
          <w:p w14:paraId="30C11452">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直播间装修</w:t>
            </w:r>
          </w:p>
        </w:tc>
        <w:tc>
          <w:tcPr>
            <w:tcW w:w="2506" w:type="dxa"/>
            <w:shd w:val="clear" w:color="auto" w:fill="auto"/>
            <w:noWrap w:val="0"/>
            <w:vAlign w:val="center"/>
          </w:tcPr>
          <w:p w14:paraId="7818BA08">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参赛选手、裁判</w:t>
            </w:r>
          </w:p>
        </w:tc>
        <w:tc>
          <w:tcPr>
            <w:tcW w:w="1381" w:type="dxa"/>
            <w:shd w:val="clear" w:color="auto" w:fill="auto"/>
            <w:noWrap w:val="0"/>
            <w:vAlign w:val="center"/>
          </w:tcPr>
          <w:p w14:paraId="79B5915E">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竞赛场地</w:t>
            </w:r>
          </w:p>
        </w:tc>
      </w:tr>
      <w:tr w14:paraId="13BF02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2C95828B">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shd w:val="clear" w:color="auto" w:fill="auto"/>
            <w:noWrap w:val="0"/>
            <w:vAlign w:val="center"/>
          </w:tcPr>
          <w:p w14:paraId="3FAACFA7">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color w:val="000000"/>
                <w:kern w:val="0"/>
                <w:sz w:val="20"/>
                <w:szCs w:val="20"/>
              </w:rPr>
              <w:t>12:00-13:00</w:t>
            </w:r>
          </w:p>
        </w:tc>
        <w:tc>
          <w:tcPr>
            <w:tcW w:w="6597" w:type="dxa"/>
            <w:gridSpan w:val="3"/>
            <w:shd w:val="clear" w:color="auto" w:fill="auto"/>
            <w:noWrap w:val="0"/>
            <w:vAlign w:val="center"/>
          </w:tcPr>
          <w:p w14:paraId="0989A61A">
            <w:pPr>
              <w:keepNext w:val="0"/>
              <w:keepLines w:val="0"/>
              <w:pageBreakBefore w:val="0"/>
              <w:widowControl/>
              <w:tabs>
                <w:tab w:val="left" w:pos="2252"/>
                <w:tab w:val="center" w:pos="3353"/>
              </w:tabs>
              <w:kinsoku w:val="0"/>
              <w:wordWrap/>
              <w:overflowPunct/>
              <w:topLinePunct w:val="0"/>
              <w:autoSpaceDE w:val="0"/>
              <w:autoSpaceDN w:val="0"/>
              <w:bidi w:val="0"/>
              <w:adjustRightInd w:val="0"/>
              <w:snapToGrid w:val="0"/>
              <w:spacing w:line="240" w:lineRule="auto"/>
              <w:ind w:firstLine="0" w:firstLineChars="0"/>
              <w:jc w:val="left"/>
              <w:rPr>
                <w:rFonts w:hint="default" w:ascii="仿宋" w:hAnsi="仿宋" w:eastAsia="仿宋" w:cs="仿宋"/>
                <w:b w:val="0"/>
                <w:bCs/>
                <w:color w:val="000000"/>
                <w:kern w:val="0"/>
                <w:sz w:val="20"/>
                <w:szCs w:val="20"/>
                <w:lang w:val="en-US" w:eastAsia="zh-CN" w:bidi="ar-SA"/>
              </w:rPr>
            </w:pPr>
            <w:r>
              <w:rPr>
                <w:rFonts w:hint="eastAsia" w:ascii="仿宋" w:hAnsi="仿宋" w:eastAsia="仿宋" w:cs="仿宋"/>
                <w:color w:val="000000"/>
                <w:kern w:val="0"/>
                <w:sz w:val="20"/>
                <w:szCs w:val="20"/>
                <w:lang w:eastAsia="zh-CN"/>
              </w:rPr>
              <w:tab/>
            </w:r>
            <w:r>
              <w:rPr>
                <w:rFonts w:hint="eastAsia" w:ascii="仿宋" w:hAnsi="仿宋" w:eastAsia="仿宋" w:cs="仿宋"/>
                <w:color w:val="000000"/>
                <w:kern w:val="0"/>
                <w:sz w:val="20"/>
                <w:szCs w:val="20"/>
                <w:lang w:eastAsia="zh-CN"/>
              </w:rPr>
              <w:tab/>
            </w:r>
            <w:r>
              <w:rPr>
                <w:rFonts w:hint="eastAsia" w:ascii="仿宋" w:hAnsi="仿宋" w:eastAsia="仿宋" w:cs="仿宋"/>
                <w:color w:val="000000"/>
                <w:kern w:val="0"/>
                <w:sz w:val="20"/>
                <w:szCs w:val="20"/>
              </w:rPr>
              <w:t>午餐</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lang w:val="en-US" w:eastAsia="zh-CN"/>
              </w:rPr>
              <w:t>休息</w:t>
            </w:r>
          </w:p>
        </w:tc>
      </w:tr>
      <w:tr w14:paraId="61A5A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46540CCB">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shd w:val="clear" w:color="auto" w:fill="auto"/>
            <w:noWrap w:val="0"/>
            <w:vAlign w:val="center"/>
          </w:tcPr>
          <w:p w14:paraId="647B4959">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13:00-14:00</w:t>
            </w:r>
          </w:p>
        </w:tc>
        <w:tc>
          <w:tcPr>
            <w:tcW w:w="2710" w:type="dxa"/>
            <w:shd w:val="clear" w:color="auto" w:fill="auto"/>
            <w:noWrap w:val="0"/>
            <w:vAlign w:val="center"/>
          </w:tcPr>
          <w:p w14:paraId="3A6FB2DD">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zh-CN"/>
              </w:rPr>
            </w:pPr>
            <w:r>
              <w:rPr>
                <w:rFonts w:hint="eastAsia" w:ascii="仿宋" w:hAnsi="仿宋" w:eastAsia="仿宋" w:cs="仿宋"/>
                <w:b w:val="0"/>
                <w:bCs/>
                <w:color w:val="000000"/>
                <w:sz w:val="20"/>
                <w:szCs w:val="20"/>
                <w:lang w:val="en-US" w:eastAsia="zh-CN"/>
              </w:rPr>
              <w:t>直播销售</w:t>
            </w:r>
          </w:p>
        </w:tc>
        <w:tc>
          <w:tcPr>
            <w:tcW w:w="2506" w:type="dxa"/>
            <w:shd w:val="clear" w:color="auto" w:fill="auto"/>
            <w:noWrap w:val="0"/>
            <w:vAlign w:val="center"/>
          </w:tcPr>
          <w:p w14:paraId="5C7B51B3">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参赛选手、裁判</w:t>
            </w:r>
          </w:p>
        </w:tc>
        <w:tc>
          <w:tcPr>
            <w:tcW w:w="1381" w:type="dxa"/>
            <w:shd w:val="clear" w:color="auto" w:fill="auto"/>
            <w:noWrap w:val="0"/>
            <w:vAlign w:val="center"/>
          </w:tcPr>
          <w:p w14:paraId="3B387409">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kern w:val="0"/>
                <w:sz w:val="20"/>
                <w:szCs w:val="20"/>
                <w:lang w:val="en-US" w:eastAsia="zh-CN" w:bidi="ar-SA"/>
              </w:rPr>
            </w:pPr>
            <w:r>
              <w:rPr>
                <w:rFonts w:hint="eastAsia" w:ascii="仿宋" w:hAnsi="仿宋" w:eastAsia="仿宋" w:cs="仿宋"/>
                <w:b w:val="0"/>
                <w:bCs/>
                <w:color w:val="000000"/>
                <w:sz w:val="20"/>
                <w:szCs w:val="20"/>
                <w:lang w:val="en-US" w:eastAsia="zh-CN"/>
              </w:rPr>
              <w:t>竞赛场地</w:t>
            </w:r>
          </w:p>
        </w:tc>
      </w:tr>
      <w:tr w14:paraId="32F57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29A28B6D">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shd w:val="clear" w:color="auto" w:fill="auto"/>
            <w:noWrap w:val="0"/>
            <w:vAlign w:val="center"/>
          </w:tcPr>
          <w:p w14:paraId="5376A54D">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en-US"/>
              </w:rPr>
            </w:pPr>
            <w:r>
              <w:rPr>
                <w:rFonts w:hint="eastAsia" w:ascii="仿宋" w:hAnsi="仿宋" w:eastAsia="仿宋" w:cs="仿宋"/>
                <w:b w:val="0"/>
                <w:bCs/>
                <w:color w:val="000000"/>
                <w:sz w:val="20"/>
                <w:szCs w:val="20"/>
                <w:lang w:val="en-US" w:eastAsia="zh-CN"/>
              </w:rPr>
              <w:t>14:00-15:00</w:t>
            </w:r>
          </w:p>
        </w:tc>
        <w:tc>
          <w:tcPr>
            <w:tcW w:w="2710" w:type="dxa"/>
            <w:shd w:val="clear" w:color="auto" w:fill="auto"/>
            <w:noWrap w:val="0"/>
            <w:vAlign w:val="center"/>
          </w:tcPr>
          <w:p w14:paraId="2FE3CEB4">
            <w:pPr>
              <w:pStyle w:val="10"/>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b w:val="0"/>
                <w:bCs/>
                <w:color w:val="000000"/>
                <w:sz w:val="20"/>
                <w:szCs w:val="20"/>
                <w:lang w:val="en-US" w:eastAsia="en-US"/>
              </w:rPr>
            </w:pPr>
            <w:r>
              <w:rPr>
                <w:rFonts w:hint="eastAsia" w:ascii="仿宋" w:hAnsi="仿宋" w:eastAsia="仿宋" w:cs="仿宋"/>
                <w:b w:val="0"/>
                <w:bCs/>
                <w:color w:val="000000"/>
                <w:sz w:val="20"/>
                <w:szCs w:val="20"/>
                <w:lang w:val="en-US" w:eastAsia="zh-CN"/>
              </w:rPr>
              <w:t>直播复盘，提交ppt</w:t>
            </w:r>
          </w:p>
        </w:tc>
        <w:tc>
          <w:tcPr>
            <w:tcW w:w="2506" w:type="dxa"/>
            <w:noWrap w:val="0"/>
            <w:vAlign w:val="center"/>
          </w:tcPr>
          <w:p w14:paraId="03312A01">
            <w:pPr>
              <w:keepNext w:val="0"/>
              <w:keepLines w:val="0"/>
              <w:pageBreakBefore w:val="0"/>
              <w:widowControl/>
              <w:tabs>
                <w:tab w:val="left" w:pos="2252"/>
                <w:tab w:val="center" w:pos="3353"/>
              </w:tabs>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lang w:eastAsia="zh-CN"/>
              </w:rPr>
            </w:pPr>
            <w:r>
              <w:rPr>
                <w:rFonts w:hint="eastAsia" w:ascii="仿宋" w:hAnsi="仿宋" w:eastAsia="仿宋" w:cs="仿宋"/>
                <w:b w:val="0"/>
                <w:bCs/>
                <w:color w:val="000000"/>
                <w:sz w:val="20"/>
                <w:szCs w:val="20"/>
                <w:lang w:val="en-US" w:eastAsia="zh-CN"/>
              </w:rPr>
              <w:t>参赛选手、裁判</w:t>
            </w:r>
          </w:p>
        </w:tc>
        <w:tc>
          <w:tcPr>
            <w:tcW w:w="1381" w:type="dxa"/>
            <w:noWrap w:val="0"/>
            <w:vAlign w:val="center"/>
          </w:tcPr>
          <w:p w14:paraId="211A37FE">
            <w:pPr>
              <w:keepNext w:val="0"/>
              <w:keepLines w:val="0"/>
              <w:pageBreakBefore w:val="0"/>
              <w:widowControl/>
              <w:tabs>
                <w:tab w:val="left" w:pos="2252"/>
                <w:tab w:val="center" w:pos="3353"/>
              </w:tabs>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lang w:eastAsia="zh-CN"/>
              </w:rPr>
            </w:pPr>
            <w:r>
              <w:rPr>
                <w:rFonts w:hint="eastAsia" w:ascii="仿宋" w:hAnsi="仿宋" w:eastAsia="仿宋" w:cs="仿宋"/>
                <w:b w:val="0"/>
                <w:bCs/>
                <w:color w:val="000000"/>
                <w:sz w:val="20"/>
                <w:szCs w:val="20"/>
                <w:lang w:val="en-US" w:eastAsia="zh-CN"/>
              </w:rPr>
              <w:t>竞赛场地</w:t>
            </w:r>
          </w:p>
        </w:tc>
      </w:tr>
      <w:tr w14:paraId="70914B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064" w:type="dxa"/>
            <w:vMerge w:val="continue"/>
            <w:noWrap w:val="0"/>
            <w:vAlign w:val="center"/>
          </w:tcPr>
          <w:p w14:paraId="6D22A071">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p>
        </w:tc>
        <w:tc>
          <w:tcPr>
            <w:tcW w:w="1776" w:type="dxa"/>
            <w:noWrap w:val="0"/>
            <w:vAlign w:val="center"/>
          </w:tcPr>
          <w:p w14:paraId="470A5477">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1</w:t>
            </w:r>
            <w:r>
              <w:rPr>
                <w:rFonts w:hint="eastAsia" w:ascii="仿宋" w:hAnsi="仿宋" w:eastAsia="仿宋" w:cs="仿宋"/>
                <w:color w:val="000000"/>
                <w:kern w:val="0"/>
                <w:sz w:val="20"/>
                <w:szCs w:val="20"/>
                <w:lang w:val="en-US" w:eastAsia="zh-CN"/>
              </w:rPr>
              <w:t>9</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00</w:t>
            </w:r>
          </w:p>
        </w:tc>
        <w:tc>
          <w:tcPr>
            <w:tcW w:w="6597" w:type="dxa"/>
            <w:gridSpan w:val="3"/>
            <w:noWrap w:val="0"/>
            <w:vAlign w:val="center"/>
          </w:tcPr>
          <w:p w14:paraId="35C71DDC">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成绩公示</w:t>
            </w:r>
          </w:p>
        </w:tc>
      </w:tr>
    </w:tbl>
    <w:p w14:paraId="6ED4135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六、竞赛规则</w:t>
      </w:r>
    </w:p>
    <w:p w14:paraId="7CFA7EA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default"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（一）报名资格</w:t>
      </w:r>
    </w:p>
    <w:p w14:paraId="3B0746B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1.大赛报名方式按照 2024 年沈阳现代化都市圈职业院校技能大赛的相关要求执行。组委会将根据选手报名信息进行资格审查，经审查不具备参赛资格的，取消参赛资格，因此产生的选手空缺不能替补。</w:t>
      </w:r>
    </w:p>
    <w:p w14:paraId="66C2BEB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（二）竞赛赛卷</w:t>
      </w:r>
    </w:p>
    <w:p w14:paraId="7BD83BB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本赛项正式比赛共计5套赛题，正式比赛时由裁判长现场随机抽取 1 套赛题进行比赛。</w:t>
      </w:r>
    </w:p>
    <w:p w14:paraId="6BBE91A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（三）入场规则</w:t>
      </w:r>
    </w:p>
    <w:p w14:paraId="6BEA0DF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选手入场时，逐个核查竞赛选手参赛证，对于选手携带的个人身份证件统一保管，对于违规物品立即收缴；实际参赛选手与报名信息不符的情况，团队成员不得入场。</w:t>
      </w:r>
    </w:p>
    <w:p w14:paraId="486CB8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(四)赛场规则</w:t>
      </w:r>
    </w:p>
    <w:p w14:paraId="535FA41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w:t>
      </w:r>
      <w:r>
        <w:rPr>
          <w:rFonts w:hint="default" w:ascii="仿宋" w:hAnsi="仿宋" w:eastAsia="仿宋" w:cs="仿宋"/>
          <w:bCs/>
          <w:color w:val="000000"/>
          <w:kern w:val="0"/>
          <w:sz w:val="28"/>
          <w:szCs w:val="28"/>
          <w:lang w:val="en-US" w:eastAsia="zh-CN"/>
        </w:rPr>
        <w:t>检录：由检录工作人员依照检录表进行点名核对。</w:t>
      </w:r>
    </w:p>
    <w:p w14:paraId="52F6011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w:t>
      </w:r>
      <w:r>
        <w:rPr>
          <w:rFonts w:hint="default" w:ascii="仿宋" w:hAnsi="仿宋" w:eastAsia="仿宋" w:cs="仿宋"/>
          <w:bCs/>
          <w:color w:val="000000"/>
          <w:kern w:val="0"/>
          <w:sz w:val="28"/>
          <w:szCs w:val="28"/>
          <w:lang w:val="en-US" w:eastAsia="zh-CN"/>
        </w:rPr>
        <w:t>加密：竞赛当日进行</w:t>
      </w:r>
      <w:r>
        <w:rPr>
          <w:rFonts w:hint="eastAsia" w:ascii="仿宋" w:hAnsi="仿宋" w:eastAsia="仿宋" w:cs="仿宋"/>
          <w:bCs/>
          <w:color w:val="000000"/>
          <w:kern w:val="0"/>
          <w:sz w:val="28"/>
          <w:szCs w:val="28"/>
          <w:lang w:val="en-US" w:eastAsia="zh-CN"/>
        </w:rPr>
        <w:t>两</w:t>
      </w:r>
      <w:r>
        <w:rPr>
          <w:rFonts w:hint="default" w:ascii="仿宋" w:hAnsi="仿宋" w:eastAsia="仿宋" w:cs="仿宋"/>
          <w:bCs/>
          <w:color w:val="000000"/>
          <w:kern w:val="0"/>
          <w:sz w:val="28"/>
          <w:szCs w:val="28"/>
          <w:lang w:val="en-US" w:eastAsia="zh-CN"/>
        </w:rPr>
        <w:t>次加密</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分别由</w:t>
      </w:r>
      <w:r>
        <w:rPr>
          <w:rFonts w:hint="eastAsia" w:ascii="仿宋" w:hAnsi="仿宋" w:eastAsia="仿宋" w:cs="仿宋"/>
          <w:bCs/>
          <w:color w:val="000000"/>
          <w:kern w:val="0"/>
          <w:sz w:val="28"/>
          <w:szCs w:val="28"/>
          <w:lang w:val="en-US" w:eastAsia="zh-CN"/>
        </w:rPr>
        <w:t>两</w:t>
      </w:r>
      <w:r>
        <w:rPr>
          <w:rFonts w:hint="default" w:ascii="仿宋" w:hAnsi="仿宋" w:eastAsia="仿宋" w:cs="仿宋"/>
          <w:bCs/>
          <w:color w:val="000000"/>
          <w:kern w:val="0"/>
          <w:sz w:val="28"/>
          <w:szCs w:val="28"/>
          <w:lang w:val="en-US" w:eastAsia="zh-CN"/>
        </w:rPr>
        <w:t>组加密裁判组织实施加密工作</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管理加密结果。监督员全程监督加密过程。</w:t>
      </w:r>
    </w:p>
    <w:p w14:paraId="00D5041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w:t>
      </w:r>
      <w:r>
        <w:rPr>
          <w:rFonts w:hint="default" w:ascii="仿宋" w:hAnsi="仿宋" w:eastAsia="仿宋" w:cs="仿宋"/>
          <w:bCs/>
          <w:color w:val="000000"/>
          <w:kern w:val="0"/>
          <w:sz w:val="28"/>
          <w:szCs w:val="28"/>
          <w:lang w:val="en-US" w:eastAsia="zh-CN"/>
        </w:rPr>
        <w:t>引导：参赛选手凭赛位号进入赛场</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现场裁判负责引导参赛选手至赛位前等待竞赛指令。</w:t>
      </w:r>
    </w:p>
    <w:p w14:paraId="310DB0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4.</w:t>
      </w:r>
      <w:r>
        <w:rPr>
          <w:rFonts w:hint="default" w:ascii="仿宋" w:hAnsi="仿宋" w:eastAsia="仿宋" w:cs="仿宋"/>
          <w:bCs/>
          <w:color w:val="000000"/>
          <w:kern w:val="0"/>
          <w:sz w:val="28"/>
          <w:szCs w:val="28"/>
          <w:lang w:val="en-US" w:eastAsia="zh-CN"/>
        </w:rPr>
        <w:t>由裁判长宣布比赛开始</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各参赛队开始竞赛。</w:t>
      </w:r>
    </w:p>
    <w:p w14:paraId="7A6EC39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5.</w:t>
      </w:r>
      <w:r>
        <w:rPr>
          <w:rFonts w:hint="default" w:ascii="仿宋" w:hAnsi="仿宋" w:eastAsia="仿宋" w:cs="仿宋"/>
          <w:bCs/>
          <w:color w:val="000000"/>
          <w:kern w:val="0"/>
          <w:sz w:val="28"/>
          <w:szCs w:val="28"/>
          <w:lang w:val="en-US" w:eastAsia="zh-CN"/>
        </w:rPr>
        <w:t>竞赛过程中</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如遇设备故障</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参赛选手应</w:t>
      </w:r>
      <w:r>
        <w:rPr>
          <w:rFonts w:hint="eastAsia" w:ascii="仿宋" w:hAnsi="仿宋" w:eastAsia="仿宋" w:cs="仿宋"/>
          <w:bCs/>
          <w:color w:val="000000"/>
          <w:kern w:val="0"/>
          <w:sz w:val="28"/>
          <w:szCs w:val="28"/>
          <w:lang w:val="en-US" w:eastAsia="zh-CN"/>
        </w:rPr>
        <w:t>举</w:t>
      </w:r>
      <w:r>
        <w:rPr>
          <w:rFonts w:hint="default" w:ascii="仿宋" w:hAnsi="仿宋" w:eastAsia="仿宋" w:cs="仿宋"/>
          <w:bCs/>
          <w:color w:val="000000"/>
          <w:kern w:val="0"/>
          <w:sz w:val="28"/>
          <w:szCs w:val="28"/>
          <w:lang w:val="en-US" w:eastAsia="zh-CN"/>
        </w:rPr>
        <w:t>牌示意。裁判、技术人员等应及时予以解决。确因计算机软件或硬件故障</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致使操作无法继续的</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经裁判</w:t>
      </w:r>
      <w:r>
        <w:rPr>
          <w:rFonts w:hint="eastAsia" w:ascii="仿宋" w:hAnsi="仿宋" w:eastAsia="仿宋" w:cs="仿宋"/>
          <w:bCs/>
          <w:color w:val="000000"/>
          <w:kern w:val="0"/>
          <w:sz w:val="28"/>
          <w:szCs w:val="28"/>
          <w:lang w:val="en-US" w:eastAsia="zh-CN"/>
        </w:rPr>
        <w:t>长</w:t>
      </w:r>
      <w:r>
        <w:rPr>
          <w:rFonts w:hint="default" w:ascii="仿宋" w:hAnsi="仿宋" w:eastAsia="仿宋" w:cs="仿宋"/>
          <w:bCs/>
          <w:color w:val="000000"/>
          <w:kern w:val="0"/>
          <w:sz w:val="28"/>
          <w:szCs w:val="28"/>
          <w:lang w:val="en-US" w:eastAsia="zh-CN"/>
        </w:rPr>
        <w:t>同意</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予以启用备用计算机。如遇身体不适</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参赛选手应</w:t>
      </w:r>
      <w:r>
        <w:rPr>
          <w:rFonts w:hint="eastAsia" w:ascii="仿宋" w:hAnsi="仿宋" w:eastAsia="仿宋" w:cs="仿宋"/>
          <w:bCs/>
          <w:color w:val="000000"/>
          <w:kern w:val="0"/>
          <w:sz w:val="28"/>
          <w:szCs w:val="28"/>
          <w:lang w:val="en-US" w:eastAsia="zh-CN"/>
        </w:rPr>
        <w:t>举</w:t>
      </w:r>
      <w:r>
        <w:rPr>
          <w:rFonts w:hint="default" w:ascii="仿宋" w:hAnsi="仿宋" w:eastAsia="仿宋" w:cs="仿宋"/>
          <w:bCs/>
          <w:color w:val="000000"/>
          <w:kern w:val="0"/>
          <w:sz w:val="28"/>
          <w:szCs w:val="28"/>
          <w:lang w:val="en-US" w:eastAsia="zh-CN"/>
        </w:rPr>
        <w:t>牌示意</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现场医务人员按应急预案救治。</w:t>
      </w:r>
    </w:p>
    <w:p w14:paraId="307068D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(五)离场规则</w:t>
      </w:r>
    </w:p>
    <w:p w14:paraId="0F71166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参赛选手比赛中途不得擅自离开赛场；竞赛内容完成后经裁判长同意可离开赛场。</w:t>
      </w:r>
    </w:p>
    <w:p w14:paraId="128084C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(六)成绩评定与结果公布</w:t>
      </w:r>
    </w:p>
    <w:p w14:paraId="55E24B5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本赛项评分方法为机考评分或结果评分，成绩评定过程中的所有评分材料须由相应评分裁判签字确认，更正成绩需经裁判本人、裁判长及监督仲裁组长在更正处签字。</w:t>
      </w:r>
      <w:bookmarkStart w:id="1" w:name="_GoBack"/>
      <w:bookmarkEnd w:id="1"/>
    </w:p>
    <w:p w14:paraId="65BA55A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highlight w:val="yellow"/>
          <w:lang w:val="en-US" w:eastAsia="zh-CN"/>
        </w:rPr>
      </w:pPr>
      <w:r>
        <w:rPr>
          <w:rFonts w:hint="eastAsia" w:ascii="仿宋" w:hAnsi="仿宋" w:eastAsia="仿宋" w:cs="仿宋"/>
          <w:bCs/>
          <w:color w:val="000000"/>
          <w:kern w:val="0"/>
          <w:sz w:val="28"/>
          <w:szCs w:val="28"/>
          <w:highlight w:val="yellow"/>
          <w:lang w:val="en-US" w:eastAsia="zh-CN"/>
        </w:rPr>
        <w:t>竞赛总成绩复核无误后，经赛项裁判长、监督仲裁人员签字确认，在指定地点以纸质形式向全体参赛队公布比赛结果，2 小时无异议后，予以宣布。</w:t>
      </w:r>
    </w:p>
    <w:p w14:paraId="1BCE648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七、技术规范</w:t>
      </w:r>
    </w:p>
    <w:p w14:paraId="1E95BE7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(一)专业教学要求</w:t>
      </w:r>
    </w:p>
    <w:p w14:paraId="6648510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根据教育部发布的</w:t>
      </w:r>
      <w:r>
        <w:rPr>
          <w:rFonts w:hint="eastAsia" w:ascii="仿宋" w:hAnsi="仿宋" w:eastAsia="仿宋" w:cs="仿宋"/>
          <w:bCs/>
          <w:color w:val="000000"/>
          <w:kern w:val="0"/>
          <w:sz w:val="28"/>
          <w:szCs w:val="28"/>
          <w:lang w:val="en-US" w:eastAsia="zh-Hans"/>
        </w:rPr>
        <w:t>《</w:t>
      </w:r>
      <w:r>
        <w:rPr>
          <w:rFonts w:hint="eastAsia" w:ascii="仿宋" w:hAnsi="仿宋" w:eastAsia="仿宋" w:cs="仿宋"/>
          <w:bCs/>
          <w:color w:val="000000"/>
          <w:kern w:val="0"/>
          <w:sz w:val="28"/>
          <w:szCs w:val="28"/>
          <w:lang w:val="en-US" w:eastAsia="zh-CN"/>
        </w:rPr>
        <w:t>高等职业教育专业简介（2022年修订）</w:t>
      </w:r>
      <w:r>
        <w:rPr>
          <w:rFonts w:hint="eastAsia" w:ascii="仿宋" w:hAnsi="仿宋" w:eastAsia="仿宋" w:cs="仿宋"/>
          <w:bCs/>
          <w:color w:val="000000"/>
          <w:kern w:val="0"/>
          <w:sz w:val="28"/>
          <w:szCs w:val="28"/>
          <w:lang w:val="en-US" w:eastAsia="zh-Hans"/>
        </w:rPr>
        <w:t>》和</w:t>
      </w:r>
      <w:r>
        <w:rPr>
          <w:rFonts w:hint="eastAsia" w:ascii="仿宋" w:hAnsi="仿宋" w:eastAsia="仿宋" w:cs="仿宋"/>
          <w:bCs/>
          <w:color w:val="000000"/>
          <w:kern w:val="0"/>
          <w:sz w:val="28"/>
          <w:szCs w:val="28"/>
          <w:lang w:val="en-US" w:eastAsia="zh-CN"/>
        </w:rPr>
        <w:t>《</w:t>
      </w:r>
      <w:r>
        <w:rPr>
          <w:rFonts w:hint="eastAsia" w:ascii="仿宋" w:hAnsi="仿宋" w:eastAsia="仿宋" w:cs="仿宋"/>
          <w:bCs/>
          <w:color w:val="000000"/>
          <w:kern w:val="0"/>
          <w:sz w:val="28"/>
          <w:szCs w:val="28"/>
          <w:lang w:val="en-US" w:eastAsia="zh-Hans"/>
        </w:rPr>
        <w:t>互联网营销师</w:t>
      </w:r>
      <w:r>
        <w:rPr>
          <w:rFonts w:hint="eastAsia" w:ascii="仿宋" w:hAnsi="仿宋" w:eastAsia="仿宋" w:cs="仿宋"/>
          <w:bCs/>
          <w:color w:val="000000"/>
          <w:kern w:val="0"/>
          <w:sz w:val="28"/>
          <w:szCs w:val="28"/>
          <w:lang w:val="en-US" w:eastAsia="zh-CN"/>
        </w:rPr>
        <w:t>国家职业标准（2021版）》</w:t>
      </w:r>
      <w:r>
        <w:rPr>
          <w:rFonts w:hint="eastAsia" w:ascii="仿宋" w:hAnsi="仿宋" w:eastAsia="仿宋" w:cs="仿宋"/>
          <w:bCs/>
          <w:color w:val="000000"/>
          <w:kern w:val="0"/>
          <w:sz w:val="28"/>
          <w:szCs w:val="28"/>
          <w:lang w:val="en-US" w:eastAsia="zh-Hans"/>
        </w:rPr>
        <w:t>的主要专业能力要求</w:t>
      </w:r>
      <w:r>
        <w:rPr>
          <w:rFonts w:hint="eastAsia" w:ascii="仿宋" w:hAnsi="仿宋" w:eastAsia="仿宋" w:cs="仿宋"/>
          <w:bCs/>
          <w:color w:val="000000"/>
          <w:kern w:val="0"/>
          <w:sz w:val="28"/>
          <w:szCs w:val="28"/>
          <w:lang w:val="en-US" w:eastAsia="zh-CN"/>
        </w:rPr>
        <w:t>，结合</w:t>
      </w:r>
      <w:r>
        <w:rPr>
          <w:rFonts w:hint="default" w:ascii="仿宋" w:hAnsi="仿宋" w:eastAsia="仿宋" w:cs="仿宋"/>
          <w:bCs/>
          <w:color w:val="000000"/>
          <w:kern w:val="0"/>
          <w:sz w:val="28"/>
          <w:szCs w:val="28"/>
          <w:lang w:val="en-US" w:eastAsia="zh-CN"/>
        </w:rPr>
        <w:t>《直播销售》《直播运营</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w:t>
      </w:r>
      <w:r>
        <w:rPr>
          <w:rFonts w:hint="eastAsia" w:ascii="仿宋" w:hAnsi="仿宋" w:eastAsia="仿宋" w:cs="仿宋"/>
          <w:bCs/>
          <w:color w:val="000000"/>
          <w:kern w:val="0"/>
          <w:sz w:val="28"/>
          <w:szCs w:val="28"/>
          <w:lang w:val="en-US" w:eastAsia="zh-CN"/>
        </w:rPr>
        <w:t>商务数据分析</w:t>
      </w:r>
      <w:r>
        <w:rPr>
          <w:rFonts w:hint="default" w:ascii="仿宋" w:hAnsi="仿宋" w:eastAsia="仿宋" w:cs="仿宋"/>
          <w:bCs/>
          <w:color w:val="000000"/>
          <w:kern w:val="0"/>
          <w:sz w:val="28"/>
          <w:szCs w:val="28"/>
          <w:lang w:val="en-US" w:eastAsia="zh-CN"/>
        </w:rPr>
        <w:t>》《市场策划》《内容策划与编辑》《网络推广》等核心课程的主要知识点、技能点设置竞赛内容。</w:t>
      </w:r>
    </w:p>
    <w:p w14:paraId="5A78348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default" w:ascii="楷体" w:hAnsi="楷体" w:eastAsia="楷体" w:cs="楷体"/>
          <w:b/>
          <w:bCs w:val="0"/>
          <w:color w:val="000000"/>
          <w:kern w:val="0"/>
          <w:sz w:val="28"/>
          <w:szCs w:val="28"/>
          <w:lang w:val="en-US" w:eastAsia="zh-CN"/>
        </w:rPr>
      </w:pPr>
      <w:r>
        <w:rPr>
          <w:rFonts w:hint="default" w:ascii="楷体" w:hAnsi="楷体" w:eastAsia="楷体" w:cs="楷体"/>
          <w:b/>
          <w:bCs w:val="0"/>
          <w:color w:val="000000"/>
          <w:kern w:val="0"/>
          <w:sz w:val="28"/>
          <w:szCs w:val="28"/>
          <w:lang w:val="en-US" w:eastAsia="zh-CN"/>
        </w:rPr>
        <w:t>（二）国家标准和行业标准</w:t>
      </w:r>
    </w:p>
    <w:p w14:paraId="1E18636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教学标准：</w:t>
      </w:r>
      <w:r>
        <w:rPr>
          <w:rFonts w:hint="eastAsia" w:ascii="仿宋" w:hAnsi="仿宋" w:eastAsia="仿宋" w:cs="仿宋"/>
          <w:bCs/>
          <w:color w:val="000000"/>
          <w:kern w:val="0"/>
          <w:sz w:val="28"/>
          <w:szCs w:val="28"/>
          <w:lang w:val="en-US" w:eastAsia="zh-Hans"/>
        </w:rPr>
        <w:t>《</w:t>
      </w:r>
      <w:r>
        <w:rPr>
          <w:rFonts w:hint="eastAsia" w:ascii="仿宋" w:hAnsi="仿宋" w:eastAsia="仿宋" w:cs="仿宋"/>
          <w:bCs/>
          <w:color w:val="000000"/>
          <w:kern w:val="0"/>
          <w:sz w:val="28"/>
          <w:szCs w:val="28"/>
          <w:lang w:val="en-US" w:eastAsia="zh-CN"/>
        </w:rPr>
        <w:t>高等职业学校网络营销与直播电商专业教学标准</w:t>
      </w:r>
      <w:r>
        <w:rPr>
          <w:rFonts w:hint="eastAsia" w:ascii="仿宋" w:hAnsi="仿宋" w:eastAsia="仿宋" w:cs="仿宋"/>
          <w:bCs/>
          <w:color w:val="000000"/>
          <w:kern w:val="0"/>
          <w:sz w:val="28"/>
          <w:szCs w:val="28"/>
          <w:lang w:val="en-US" w:eastAsia="zh-Hans"/>
        </w:rPr>
        <w:t>》</w:t>
      </w:r>
      <w:r>
        <w:rPr>
          <w:rFonts w:hint="eastAsia" w:ascii="仿宋" w:hAnsi="仿宋" w:eastAsia="仿宋" w:cs="仿宋"/>
          <w:bCs/>
          <w:color w:val="000000"/>
          <w:kern w:val="0"/>
          <w:sz w:val="28"/>
          <w:szCs w:val="28"/>
          <w:lang w:val="en-US" w:eastAsia="zh-CN"/>
        </w:rPr>
        <w:t>。</w:t>
      </w:r>
    </w:p>
    <w:p w14:paraId="4F0831A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职业标准：《</w:t>
      </w:r>
      <w:r>
        <w:rPr>
          <w:rFonts w:hint="eastAsia" w:ascii="仿宋" w:hAnsi="仿宋" w:eastAsia="仿宋" w:cs="仿宋"/>
          <w:bCs/>
          <w:color w:val="000000"/>
          <w:kern w:val="0"/>
          <w:sz w:val="28"/>
          <w:szCs w:val="28"/>
          <w:lang w:val="en-US" w:eastAsia="zh-Hans"/>
        </w:rPr>
        <w:t>互联网营销师</w:t>
      </w:r>
      <w:r>
        <w:rPr>
          <w:rFonts w:hint="eastAsia" w:ascii="仿宋" w:hAnsi="仿宋" w:eastAsia="仿宋" w:cs="仿宋"/>
          <w:bCs/>
          <w:color w:val="000000"/>
          <w:kern w:val="0"/>
          <w:sz w:val="28"/>
          <w:szCs w:val="28"/>
          <w:lang w:val="en-US" w:eastAsia="zh-CN"/>
        </w:rPr>
        <w:t>国家职业标准（2021版）》。</w:t>
      </w:r>
    </w:p>
    <w:p w14:paraId="4EFD2D6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职业编码：4-01-02-07</w:t>
      </w:r>
    </w:p>
    <w:p w14:paraId="470EC5E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default"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（三）操控人员具备的专业知识、技术技能</w:t>
      </w:r>
    </w:p>
    <w:p w14:paraId="74D9F5F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1.行业分析：了解直播电商的产业结构、生命周期。</w:t>
      </w:r>
    </w:p>
    <w:p w14:paraId="77D46E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2.政策规则：国家的政策法规，平台自身的规则。</w:t>
      </w:r>
    </w:p>
    <w:p w14:paraId="3370E56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3.项目管理：具备直播电商运营流程规划和梳理能力。</w:t>
      </w:r>
    </w:p>
    <w:p w14:paraId="2323914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sz w:val="30"/>
          <w:szCs w:val="30"/>
          <w:lang w:val="en-US" w:eastAsia="zh-CN"/>
        </w:rPr>
      </w:pPr>
      <w:r>
        <w:rPr>
          <w:rFonts w:hint="eastAsia" w:ascii="仿宋" w:hAnsi="仿宋" w:eastAsia="仿宋" w:cs="仿宋"/>
          <w:bCs/>
          <w:color w:val="000000"/>
          <w:kern w:val="0"/>
          <w:sz w:val="28"/>
          <w:szCs w:val="28"/>
          <w:lang w:val="en-US" w:eastAsia="zh-CN"/>
        </w:rPr>
        <w:t>4.运营能力：内容策划、直播销售、直播运营等能力。</w:t>
      </w:r>
    </w:p>
    <w:p w14:paraId="04C9444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八、技术环境</w:t>
      </w:r>
    </w:p>
    <w:p w14:paraId="668D90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1.竞赛场地设在体育馆内或电脑机房。</w:t>
      </w:r>
    </w:p>
    <w:p w14:paraId="477184F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2.赛场各赛位统一使用清晰的工位标识</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一个参赛队</w:t>
      </w:r>
      <w:r>
        <w:rPr>
          <w:rFonts w:hint="eastAsia" w:ascii="仿宋" w:hAnsi="仿宋" w:eastAsia="仿宋" w:cs="仿宋"/>
          <w:bCs/>
          <w:color w:val="000000"/>
          <w:kern w:val="0"/>
          <w:sz w:val="28"/>
          <w:szCs w:val="28"/>
          <w:lang w:val="en-US" w:eastAsia="zh-CN"/>
        </w:rPr>
        <w:t xml:space="preserve"> 1 </w:t>
      </w:r>
      <w:r>
        <w:rPr>
          <w:rFonts w:hint="default" w:ascii="仿宋" w:hAnsi="仿宋" w:eastAsia="仿宋" w:cs="仿宋"/>
          <w:bCs/>
          <w:color w:val="000000"/>
          <w:kern w:val="0"/>
          <w:sz w:val="28"/>
          <w:szCs w:val="28"/>
          <w:lang w:val="en-US" w:eastAsia="zh-CN"/>
        </w:rPr>
        <w:t>个</w:t>
      </w:r>
      <w:r>
        <w:rPr>
          <w:rFonts w:hint="eastAsia" w:ascii="仿宋" w:hAnsi="仿宋" w:eastAsia="仿宋" w:cs="仿宋"/>
          <w:bCs/>
          <w:color w:val="000000"/>
          <w:kern w:val="0"/>
          <w:sz w:val="28"/>
          <w:szCs w:val="28"/>
          <w:lang w:val="en-US" w:eastAsia="zh-CN"/>
        </w:rPr>
        <w:t>赛</w:t>
      </w:r>
      <w:r>
        <w:rPr>
          <w:rFonts w:hint="default" w:ascii="仿宋" w:hAnsi="仿宋" w:eastAsia="仿宋" w:cs="仿宋"/>
          <w:bCs/>
          <w:color w:val="000000"/>
          <w:kern w:val="0"/>
          <w:sz w:val="28"/>
          <w:szCs w:val="28"/>
          <w:lang w:val="en-US" w:eastAsia="zh-CN"/>
        </w:rPr>
        <w:t>位</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每个</w:t>
      </w:r>
      <w:r>
        <w:rPr>
          <w:rFonts w:hint="eastAsia" w:ascii="仿宋" w:hAnsi="仿宋" w:eastAsia="仿宋" w:cs="仿宋"/>
          <w:bCs/>
          <w:color w:val="000000"/>
          <w:kern w:val="0"/>
          <w:sz w:val="28"/>
          <w:szCs w:val="28"/>
          <w:lang w:val="en-US" w:eastAsia="zh-CN"/>
        </w:rPr>
        <w:t>赛</w:t>
      </w:r>
      <w:r>
        <w:rPr>
          <w:rFonts w:hint="default" w:ascii="仿宋" w:hAnsi="仿宋" w:eastAsia="仿宋" w:cs="仿宋"/>
          <w:bCs/>
          <w:color w:val="000000"/>
          <w:kern w:val="0"/>
          <w:sz w:val="28"/>
          <w:szCs w:val="28"/>
          <w:lang w:val="en-US" w:eastAsia="zh-CN"/>
        </w:rPr>
        <w:t>位</w:t>
      </w:r>
      <w:r>
        <w:rPr>
          <w:rFonts w:hint="eastAsia" w:ascii="仿宋" w:hAnsi="仿宋" w:eastAsia="仿宋" w:cs="仿宋"/>
          <w:bCs/>
          <w:color w:val="000000"/>
          <w:kern w:val="0"/>
          <w:sz w:val="28"/>
          <w:szCs w:val="28"/>
          <w:lang w:val="en-US" w:eastAsia="zh-CN"/>
        </w:rPr>
        <w:t xml:space="preserve"> 1 台直播手机，3 </w:t>
      </w:r>
      <w:r>
        <w:rPr>
          <w:rFonts w:hint="default" w:ascii="仿宋" w:hAnsi="仿宋" w:eastAsia="仿宋" w:cs="仿宋"/>
          <w:bCs/>
          <w:color w:val="000000"/>
          <w:kern w:val="0"/>
          <w:sz w:val="28"/>
          <w:szCs w:val="28"/>
          <w:lang w:val="en-US" w:eastAsia="zh-CN"/>
        </w:rPr>
        <w:t>台电脑</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其中</w:t>
      </w:r>
      <w:r>
        <w:rPr>
          <w:rFonts w:hint="eastAsia" w:ascii="仿宋" w:hAnsi="仿宋" w:eastAsia="仿宋" w:cs="仿宋"/>
          <w:bCs/>
          <w:color w:val="000000"/>
          <w:kern w:val="0"/>
          <w:sz w:val="28"/>
          <w:szCs w:val="28"/>
          <w:lang w:val="en-US" w:eastAsia="zh-CN"/>
        </w:rPr>
        <w:t xml:space="preserve"> 1 </w:t>
      </w:r>
      <w:r>
        <w:rPr>
          <w:rFonts w:hint="default" w:ascii="仿宋" w:hAnsi="仿宋" w:eastAsia="仿宋" w:cs="仿宋"/>
          <w:bCs/>
          <w:color w:val="000000"/>
          <w:kern w:val="0"/>
          <w:sz w:val="28"/>
          <w:szCs w:val="28"/>
          <w:lang w:val="en-US" w:eastAsia="zh-CN"/>
        </w:rPr>
        <w:t>台备用</w:t>
      </w:r>
      <w:r>
        <w:rPr>
          <w:rFonts w:hint="eastAsia" w:ascii="仿宋" w:hAnsi="仿宋" w:eastAsia="仿宋" w:cs="仿宋"/>
          <w:bCs/>
          <w:color w:val="000000"/>
          <w:kern w:val="0"/>
          <w:sz w:val="28"/>
          <w:szCs w:val="28"/>
          <w:lang w:val="en-US" w:eastAsia="zh-CN"/>
        </w:rPr>
        <w:t>。</w:t>
      </w:r>
    </w:p>
    <w:p w14:paraId="243503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3.竞赛场地内设置背景板、宣传横幅及壁挂图</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营造竞赛氛围。</w:t>
      </w:r>
    </w:p>
    <w:p w14:paraId="7EE2BDA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4.局域网络。采用星形网络拓扑结构</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安装千兆交换机</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网线与电源线隐蔽铺设。</w:t>
      </w:r>
    </w:p>
    <w:p w14:paraId="4B6618C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5.利用</w:t>
      </w:r>
      <w:r>
        <w:rPr>
          <w:rFonts w:hint="eastAsia" w:ascii="仿宋" w:hAnsi="仿宋" w:eastAsia="仿宋" w:cs="仿宋"/>
          <w:bCs/>
          <w:color w:val="000000"/>
          <w:kern w:val="0"/>
          <w:sz w:val="28"/>
          <w:szCs w:val="28"/>
          <w:lang w:val="en-US" w:eastAsia="zh-CN"/>
        </w:rPr>
        <w:t>相关技术</w:t>
      </w:r>
      <w:r>
        <w:rPr>
          <w:rFonts w:hint="default" w:ascii="仿宋" w:hAnsi="仿宋" w:eastAsia="仿宋" w:cs="仿宋"/>
          <w:bCs/>
          <w:color w:val="000000"/>
          <w:kern w:val="0"/>
          <w:sz w:val="28"/>
          <w:szCs w:val="28"/>
          <w:lang w:val="en-US" w:eastAsia="zh-CN"/>
        </w:rPr>
        <w:t>防止现场因突然断电导致的系统数据丢失</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后备时间</w:t>
      </w:r>
      <w:r>
        <w:rPr>
          <w:rFonts w:hint="eastAsia" w:ascii="仿宋" w:hAnsi="仿宋" w:eastAsia="仿宋" w:cs="仿宋"/>
          <w:bCs/>
          <w:color w:val="000000"/>
          <w:kern w:val="0"/>
          <w:sz w:val="28"/>
          <w:szCs w:val="28"/>
          <w:lang w:val="en-US" w:eastAsia="zh-CN"/>
        </w:rPr>
        <w:t>大于</w:t>
      </w:r>
      <w:r>
        <w:rPr>
          <w:rFonts w:hint="default" w:ascii="仿宋" w:hAnsi="仿宋" w:eastAsia="仿宋" w:cs="仿宋"/>
          <w:bCs/>
          <w:color w:val="000000"/>
          <w:kern w:val="0"/>
          <w:sz w:val="28"/>
          <w:szCs w:val="28"/>
          <w:lang w:val="en-US" w:eastAsia="zh-CN"/>
        </w:rPr>
        <w:t>2小时</w:t>
      </w:r>
      <w:r>
        <w:rPr>
          <w:rFonts w:hint="eastAsia" w:ascii="仿宋" w:hAnsi="仿宋" w:eastAsia="仿宋" w:cs="仿宋"/>
          <w:bCs/>
          <w:color w:val="000000"/>
          <w:kern w:val="0"/>
          <w:sz w:val="28"/>
          <w:szCs w:val="28"/>
          <w:lang w:val="en-US" w:eastAsia="zh-CN"/>
        </w:rPr>
        <w:t>。</w:t>
      </w:r>
    </w:p>
    <w:p w14:paraId="4591CE33">
      <w:pPr>
        <w:pStyle w:val="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rPr>
          <w:rFonts w:hint="eastAsia" w:ascii="仿宋" w:hAnsi="仿宋" w:eastAsia="仿宋" w:cs="仿宋"/>
          <w:b/>
          <w:bCs/>
          <w:color w:val="000000"/>
          <w:kern w:val="2"/>
          <w:sz w:val="20"/>
          <w:szCs w:val="20"/>
          <w:lang w:val="en-US" w:eastAsia="zh-CN" w:bidi="ar-SA"/>
        </w:rPr>
      </w:pPr>
      <w:r>
        <w:rPr>
          <w:rFonts w:hint="eastAsia" w:ascii="仿宋" w:hAnsi="仿宋" w:eastAsia="仿宋" w:cs="仿宋"/>
          <w:b/>
          <w:bCs/>
          <w:color w:val="000000"/>
          <w:kern w:val="2"/>
          <w:sz w:val="20"/>
          <w:szCs w:val="20"/>
          <w:lang w:val="en-US" w:eastAsia="zh-CN" w:bidi="ar-SA"/>
        </w:rPr>
        <w:t>表8-1技术平台</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83"/>
        <w:gridCol w:w="5210"/>
        <w:gridCol w:w="1240"/>
      </w:tblGrid>
      <w:tr w14:paraId="5138B1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183" w:type="dxa"/>
            <w:noWrap w:val="0"/>
            <w:vAlign w:val="center"/>
          </w:tcPr>
          <w:p w14:paraId="57D1D919">
            <w:pPr>
              <w:pStyle w:val="16"/>
              <w:keepNext w:val="0"/>
              <w:keepLines w:val="0"/>
              <w:pageBreakBefore w:val="0"/>
              <w:wordWrap/>
              <w:overflowPunct/>
              <w:topLinePunct w:val="0"/>
              <w:bidi w:val="0"/>
              <w:spacing w:line="240" w:lineRule="auto"/>
              <w:ind w:left="0" w:leftChars="0" w:right="0" w:rightChars="0" w:firstLine="0" w:firstLineChars="0"/>
              <w:jc w:val="center"/>
              <w:rPr>
                <w:rFonts w:hint="eastAsia" w:ascii="仿宋" w:hAnsi="仿宋" w:eastAsia="仿宋" w:cs="仿宋"/>
                <w:b/>
                <w:bCs/>
                <w:color w:val="000000"/>
                <w:kern w:val="0"/>
                <w:sz w:val="20"/>
                <w:szCs w:val="20"/>
                <w:lang w:val="en-US" w:eastAsia="zh-CN" w:bidi="ar-SA"/>
              </w:rPr>
            </w:pPr>
            <w:r>
              <w:rPr>
                <w:rFonts w:hint="eastAsia" w:ascii="仿宋" w:hAnsi="仿宋" w:eastAsia="仿宋" w:cs="仿宋"/>
                <w:b/>
                <w:bCs/>
                <w:color w:val="000000"/>
                <w:kern w:val="0"/>
                <w:sz w:val="20"/>
                <w:szCs w:val="20"/>
                <w:lang w:val="en-US" w:eastAsia="zh-CN" w:bidi="ar-SA"/>
              </w:rPr>
              <w:t>品名</w:t>
            </w:r>
          </w:p>
        </w:tc>
        <w:tc>
          <w:tcPr>
            <w:tcW w:w="5210" w:type="dxa"/>
            <w:noWrap w:val="0"/>
            <w:vAlign w:val="center"/>
          </w:tcPr>
          <w:p w14:paraId="04490AEA">
            <w:pPr>
              <w:pStyle w:val="16"/>
              <w:keepNext w:val="0"/>
              <w:keepLines w:val="0"/>
              <w:pageBreakBefore w:val="0"/>
              <w:wordWrap/>
              <w:overflowPunct/>
              <w:topLinePunct w:val="0"/>
              <w:bidi w:val="0"/>
              <w:spacing w:line="240" w:lineRule="auto"/>
              <w:ind w:left="0" w:leftChars="0" w:right="0" w:rightChars="0" w:firstLine="0" w:firstLineChars="0"/>
              <w:jc w:val="center"/>
              <w:rPr>
                <w:rFonts w:hint="eastAsia" w:ascii="仿宋" w:hAnsi="仿宋" w:eastAsia="仿宋" w:cs="仿宋"/>
                <w:b/>
                <w:bCs/>
                <w:color w:val="000000"/>
                <w:kern w:val="0"/>
                <w:sz w:val="20"/>
                <w:szCs w:val="20"/>
                <w:lang w:val="en-US" w:eastAsia="zh-CN" w:bidi="ar-SA"/>
              </w:rPr>
            </w:pPr>
            <w:r>
              <w:rPr>
                <w:rFonts w:hint="eastAsia" w:ascii="仿宋" w:hAnsi="仿宋" w:eastAsia="仿宋" w:cs="仿宋"/>
                <w:b/>
                <w:bCs/>
                <w:color w:val="000000"/>
                <w:kern w:val="0"/>
                <w:sz w:val="20"/>
                <w:szCs w:val="20"/>
                <w:lang w:val="en-US" w:eastAsia="zh-CN" w:bidi="ar-SA"/>
              </w:rPr>
              <w:t>规格要求说明</w:t>
            </w:r>
          </w:p>
        </w:tc>
        <w:tc>
          <w:tcPr>
            <w:tcW w:w="1240" w:type="dxa"/>
            <w:noWrap w:val="0"/>
            <w:vAlign w:val="center"/>
          </w:tcPr>
          <w:p w14:paraId="04E7E0D9">
            <w:pPr>
              <w:pStyle w:val="16"/>
              <w:keepNext w:val="0"/>
              <w:keepLines w:val="0"/>
              <w:pageBreakBefore w:val="0"/>
              <w:wordWrap/>
              <w:overflowPunct/>
              <w:topLinePunct w:val="0"/>
              <w:bidi w:val="0"/>
              <w:spacing w:line="240" w:lineRule="auto"/>
              <w:ind w:left="0" w:leftChars="0" w:right="0" w:rightChars="0" w:firstLine="0" w:firstLineChars="0"/>
              <w:jc w:val="center"/>
              <w:rPr>
                <w:rFonts w:hint="eastAsia" w:ascii="仿宋" w:hAnsi="仿宋" w:eastAsia="仿宋" w:cs="仿宋"/>
                <w:b/>
                <w:bCs/>
                <w:color w:val="000000"/>
                <w:kern w:val="0"/>
                <w:sz w:val="20"/>
                <w:szCs w:val="20"/>
                <w:lang w:val="en-US" w:eastAsia="zh-CN" w:bidi="ar-SA"/>
              </w:rPr>
            </w:pPr>
            <w:r>
              <w:rPr>
                <w:rFonts w:hint="eastAsia" w:ascii="仿宋" w:hAnsi="仿宋" w:eastAsia="仿宋" w:cs="仿宋"/>
                <w:b/>
                <w:bCs/>
                <w:color w:val="000000"/>
                <w:kern w:val="0"/>
                <w:sz w:val="20"/>
                <w:szCs w:val="20"/>
                <w:lang w:val="en-US" w:eastAsia="zh-CN" w:bidi="ar-SA"/>
              </w:rPr>
              <w:t>数量</w:t>
            </w:r>
          </w:p>
        </w:tc>
      </w:tr>
      <w:tr w14:paraId="5F51D9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183" w:type="dxa"/>
            <w:noWrap w:val="0"/>
            <w:vAlign w:val="center"/>
          </w:tcPr>
          <w:p w14:paraId="6E138DCB">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参赛选手电脑</w:t>
            </w:r>
          </w:p>
        </w:tc>
        <w:tc>
          <w:tcPr>
            <w:tcW w:w="5210" w:type="dxa"/>
            <w:noWrap w:val="0"/>
            <w:vAlign w:val="center"/>
          </w:tcPr>
          <w:p w14:paraId="45BE3223">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CPU：Intel酷睿i58代及以上；</w:t>
            </w:r>
          </w:p>
          <w:p w14:paraId="47437940">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内存：8G及以上；</w:t>
            </w:r>
          </w:p>
          <w:p w14:paraId="61A9103E">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硬盘：100G以上；</w:t>
            </w:r>
          </w:p>
          <w:p w14:paraId="3D534CF1">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操作系统：Windows7及以上</w:t>
            </w:r>
          </w:p>
          <w:p w14:paraId="122134E0">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其他软件要求：</w:t>
            </w:r>
          </w:p>
          <w:p w14:paraId="399374F5">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GoogleChrome浏览器（85及以上版本）；</w:t>
            </w:r>
          </w:p>
          <w:p w14:paraId="70F77E50">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MicrosoftOffice2013及以上简体中文标准版；</w:t>
            </w:r>
          </w:p>
          <w:p w14:paraId="553A7A4A">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QQ拼音输入法；</w:t>
            </w:r>
          </w:p>
          <w:p w14:paraId="69432515">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QQ五笔输入法；</w:t>
            </w:r>
          </w:p>
          <w:p w14:paraId="4BC99F54">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360压缩软件；</w:t>
            </w:r>
          </w:p>
          <w:p w14:paraId="133764AB">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EV录屏；</w:t>
            </w:r>
          </w:p>
          <w:p w14:paraId="3568723D">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画图软件（Windows自带）；</w:t>
            </w:r>
          </w:p>
          <w:p w14:paraId="2D5BFCFD">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以上软件均不提供原介质包以外的第三方插件。</w:t>
            </w:r>
          </w:p>
        </w:tc>
        <w:tc>
          <w:tcPr>
            <w:tcW w:w="1240" w:type="dxa"/>
            <w:noWrap w:val="0"/>
            <w:vAlign w:val="center"/>
          </w:tcPr>
          <w:p w14:paraId="3307F5BA">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3台，含1台备用。</w:t>
            </w:r>
          </w:p>
        </w:tc>
      </w:tr>
      <w:tr w14:paraId="32F525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183" w:type="dxa"/>
            <w:noWrap w:val="0"/>
            <w:vAlign w:val="center"/>
          </w:tcPr>
          <w:p w14:paraId="0EE122C9">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参赛选手直播设备</w:t>
            </w:r>
          </w:p>
        </w:tc>
        <w:tc>
          <w:tcPr>
            <w:tcW w:w="5210" w:type="dxa"/>
            <w:noWrap w:val="0"/>
            <w:vAlign w:val="center"/>
          </w:tcPr>
          <w:p w14:paraId="2B669301">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直播手机：安卓11-13系统或鸿蒙4.0及以上手机2台，内存不低于8G，前置摄像头像素不低于500万，参赛选手自带；</w:t>
            </w:r>
          </w:p>
          <w:p w14:paraId="2C4B1733">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收声设备：领夹麦，选手自带；</w:t>
            </w:r>
          </w:p>
          <w:p w14:paraId="769C3057">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补光灯：带支架桌面补光灯，承办校统一提供。</w:t>
            </w:r>
          </w:p>
          <w:p w14:paraId="0F20065A">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注：除以上直播设备外，参赛选手不允许自带任何形式的设备或辅助直播的道具。</w:t>
            </w:r>
          </w:p>
        </w:tc>
        <w:tc>
          <w:tcPr>
            <w:tcW w:w="1240" w:type="dxa"/>
            <w:noWrap w:val="0"/>
            <w:vAlign w:val="center"/>
          </w:tcPr>
          <w:p w14:paraId="29E3BE1E">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各1套</w:t>
            </w:r>
          </w:p>
        </w:tc>
      </w:tr>
      <w:tr w14:paraId="32D8075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183" w:type="dxa"/>
            <w:noWrap w:val="0"/>
            <w:vAlign w:val="center"/>
          </w:tcPr>
          <w:p w14:paraId="69E64DA2">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网络连接设备</w:t>
            </w:r>
          </w:p>
        </w:tc>
        <w:tc>
          <w:tcPr>
            <w:tcW w:w="5210" w:type="dxa"/>
            <w:noWrap w:val="0"/>
            <w:vAlign w:val="center"/>
          </w:tcPr>
          <w:p w14:paraId="2246AC7B">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根据赛程提供相关网络环境。</w:t>
            </w:r>
          </w:p>
        </w:tc>
        <w:tc>
          <w:tcPr>
            <w:tcW w:w="1240" w:type="dxa"/>
            <w:noWrap w:val="0"/>
            <w:vAlign w:val="center"/>
          </w:tcPr>
          <w:p w14:paraId="5AE46AAD">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1套</w:t>
            </w:r>
          </w:p>
        </w:tc>
      </w:tr>
      <w:tr w14:paraId="3529E6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183" w:type="dxa"/>
            <w:noWrap w:val="0"/>
            <w:vAlign w:val="center"/>
          </w:tcPr>
          <w:p w14:paraId="3E5EC99C">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竞赛服务器</w:t>
            </w:r>
          </w:p>
        </w:tc>
        <w:tc>
          <w:tcPr>
            <w:tcW w:w="5210" w:type="dxa"/>
            <w:noWrap w:val="0"/>
            <w:vAlign w:val="center"/>
          </w:tcPr>
          <w:p w14:paraId="75B35139">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CPU：至强银牌421616核32线程；</w:t>
            </w:r>
          </w:p>
          <w:p w14:paraId="25A0F97D">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内存：32GB以上；</w:t>
            </w:r>
          </w:p>
          <w:p w14:paraId="47908104">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硬盘：500G以上；</w:t>
            </w:r>
          </w:p>
          <w:p w14:paraId="64154068">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操作系统：UbuntuServer20.04。</w:t>
            </w:r>
          </w:p>
        </w:tc>
        <w:tc>
          <w:tcPr>
            <w:tcW w:w="1240" w:type="dxa"/>
            <w:noWrap w:val="0"/>
            <w:vAlign w:val="center"/>
          </w:tcPr>
          <w:p w14:paraId="4B770CD7">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2台</w:t>
            </w:r>
          </w:p>
        </w:tc>
      </w:tr>
      <w:tr w14:paraId="238D47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183" w:type="dxa"/>
            <w:noWrap w:val="0"/>
            <w:vAlign w:val="center"/>
          </w:tcPr>
          <w:p w14:paraId="48CFB9CB">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default"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竞赛平台</w:t>
            </w:r>
          </w:p>
        </w:tc>
        <w:tc>
          <w:tcPr>
            <w:tcW w:w="5210" w:type="dxa"/>
            <w:noWrap w:val="0"/>
            <w:vAlign w:val="center"/>
          </w:tcPr>
          <w:p w14:paraId="6D10C375">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rPr>
                <w:rFonts w:hint="default"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奥派直播电商竞赛平台</w:t>
            </w:r>
          </w:p>
        </w:tc>
        <w:tc>
          <w:tcPr>
            <w:tcW w:w="1240" w:type="dxa"/>
            <w:noWrap w:val="0"/>
            <w:vAlign w:val="center"/>
          </w:tcPr>
          <w:p w14:paraId="012E2765">
            <w:pPr>
              <w:pStyle w:val="1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rPr>
                <w:rFonts w:hint="default"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1套</w:t>
            </w:r>
          </w:p>
        </w:tc>
      </w:tr>
    </w:tbl>
    <w:p w14:paraId="57152D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九、赛项安全</w:t>
      </w:r>
    </w:p>
    <w:p w14:paraId="0DAD69A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大赛组委会</w:t>
      </w:r>
      <w:r>
        <w:rPr>
          <w:rFonts w:hint="default" w:ascii="仿宋" w:hAnsi="仿宋" w:eastAsia="仿宋" w:cs="仿宋"/>
          <w:bCs/>
          <w:color w:val="000000"/>
          <w:kern w:val="0"/>
          <w:sz w:val="28"/>
          <w:szCs w:val="28"/>
          <w:lang w:val="en-US" w:eastAsia="zh-CN"/>
        </w:rPr>
        <w:t>采取切实有效措施保证大赛期间赛场组织与管理人员、裁判员、参赛人员的人身安全。</w:t>
      </w:r>
    </w:p>
    <w:p w14:paraId="27206D8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（一）比赛环境</w:t>
      </w:r>
    </w:p>
    <w:p w14:paraId="153DA2B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赛场的设备</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应符合国家有关安全规定。承办单位赛前须按照</w:t>
      </w:r>
      <w:r>
        <w:rPr>
          <w:rFonts w:hint="eastAsia" w:ascii="仿宋" w:hAnsi="仿宋" w:eastAsia="仿宋" w:cs="仿宋"/>
          <w:bCs/>
          <w:color w:val="000000"/>
          <w:kern w:val="0"/>
          <w:sz w:val="28"/>
          <w:szCs w:val="28"/>
          <w:lang w:val="en-US" w:eastAsia="zh-CN"/>
        </w:rPr>
        <w:t>组委会</w:t>
      </w:r>
      <w:r>
        <w:rPr>
          <w:rFonts w:hint="default" w:ascii="仿宋" w:hAnsi="仿宋" w:eastAsia="仿宋" w:cs="仿宋"/>
          <w:bCs/>
          <w:color w:val="000000"/>
          <w:kern w:val="0"/>
          <w:sz w:val="28"/>
          <w:szCs w:val="28"/>
          <w:lang w:val="en-US" w:eastAsia="zh-CN"/>
        </w:rPr>
        <w:t>要求排除安全隐患。</w:t>
      </w:r>
    </w:p>
    <w:p w14:paraId="382A526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赛场周围要设立警戒线</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防止无关人员进入发生意外事件。</w:t>
      </w:r>
    </w:p>
    <w:p w14:paraId="3D90339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sz w:val="30"/>
          <w:szCs w:val="30"/>
          <w:lang w:val="en-US" w:eastAsia="zh-CN"/>
        </w:rPr>
      </w:pPr>
      <w:r>
        <w:rPr>
          <w:rFonts w:hint="default" w:ascii="仿宋" w:hAnsi="仿宋" w:eastAsia="仿宋" w:cs="仿宋"/>
          <w:bCs/>
          <w:color w:val="000000"/>
          <w:kern w:val="0"/>
          <w:sz w:val="28"/>
          <w:szCs w:val="28"/>
          <w:lang w:val="en-US" w:eastAsia="zh-CN"/>
        </w:rPr>
        <w:t>赛场环境中存在人员密集、车流人流交错的区域</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除了设置齐全的指示标志外</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须增加引导人员</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并开辟备用通道。</w:t>
      </w:r>
    </w:p>
    <w:p w14:paraId="5565067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default" w:ascii="楷体" w:hAnsi="楷体" w:eastAsia="楷体" w:cs="楷体"/>
          <w:b/>
          <w:bCs w:val="0"/>
          <w:color w:val="000000"/>
          <w:kern w:val="0"/>
          <w:sz w:val="28"/>
          <w:szCs w:val="28"/>
          <w:lang w:val="en-US" w:eastAsia="zh-CN"/>
        </w:rPr>
        <w:t>（二）生活条件</w:t>
      </w:r>
    </w:p>
    <w:p w14:paraId="7F2730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比赛期间</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原则上由执委会统一安排参赛选手和指导教师食宿。承办单位须尊重少数民族的信仰及文化</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根据国家相关的民族政策</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安排好少数民族选手和教师的饮食起居。</w:t>
      </w:r>
    </w:p>
    <w:p w14:paraId="610905D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比赛期间安排的住宿地应具有旅游业经营许可资质。</w:t>
      </w:r>
    </w:p>
    <w:p w14:paraId="0CDE672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组委会</w:t>
      </w:r>
      <w:r>
        <w:rPr>
          <w:rFonts w:hint="default" w:ascii="仿宋" w:hAnsi="仿宋" w:eastAsia="仿宋" w:cs="仿宋"/>
          <w:bCs/>
          <w:color w:val="000000"/>
          <w:kern w:val="0"/>
          <w:sz w:val="28"/>
          <w:szCs w:val="28"/>
          <w:lang w:val="en-US" w:eastAsia="zh-CN"/>
        </w:rPr>
        <w:t>和承办单位须保证比赛期间选手、指导教师和裁判员、工作人员的交通安全。</w:t>
      </w:r>
    </w:p>
    <w:p w14:paraId="3F572A6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default" w:ascii="楷体" w:hAnsi="楷体" w:eastAsia="楷体" w:cs="楷体"/>
          <w:b/>
          <w:bCs w:val="0"/>
          <w:color w:val="000000"/>
          <w:kern w:val="0"/>
          <w:sz w:val="28"/>
          <w:szCs w:val="28"/>
          <w:lang w:val="en-US" w:eastAsia="zh-CN"/>
        </w:rPr>
      </w:pPr>
      <w:r>
        <w:rPr>
          <w:rFonts w:hint="default" w:ascii="楷体" w:hAnsi="楷体" w:eastAsia="楷体" w:cs="楷体"/>
          <w:b/>
          <w:bCs w:val="0"/>
          <w:color w:val="000000"/>
          <w:kern w:val="0"/>
          <w:sz w:val="28"/>
          <w:szCs w:val="28"/>
          <w:lang w:val="en-US" w:eastAsia="zh-CN"/>
        </w:rPr>
        <w:t>（三）组队责任</w:t>
      </w:r>
    </w:p>
    <w:p w14:paraId="4C22967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1.各学校组织代表队时</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须为参赛选手购买大赛期间的人身意外伤害保险。</w:t>
      </w:r>
    </w:p>
    <w:p w14:paraId="6A2D26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2.各学校代表队组成后</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须制定相关管理制度</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并对所有选手、指导教师进行安全教育。</w:t>
      </w:r>
    </w:p>
    <w:p w14:paraId="2B02D4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default" w:ascii="楷体" w:hAnsi="楷体" w:eastAsia="楷体" w:cs="楷体"/>
          <w:b/>
          <w:bCs w:val="0"/>
          <w:color w:val="000000"/>
          <w:kern w:val="0"/>
          <w:sz w:val="28"/>
          <w:szCs w:val="28"/>
          <w:lang w:val="en-US" w:eastAsia="zh-CN"/>
        </w:rPr>
      </w:pPr>
      <w:r>
        <w:rPr>
          <w:rFonts w:hint="default" w:ascii="楷体" w:hAnsi="楷体" w:eastAsia="楷体" w:cs="楷体"/>
          <w:b/>
          <w:bCs w:val="0"/>
          <w:color w:val="000000"/>
          <w:kern w:val="0"/>
          <w:sz w:val="28"/>
          <w:szCs w:val="28"/>
          <w:lang w:val="en-US" w:eastAsia="zh-CN"/>
        </w:rPr>
        <w:t>（四）应急处理</w:t>
      </w:r>
    </w:p>
    <w:p w14:paraId="47DF868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比赛期间发生意外事故</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第一时间报告</w:t>
      </w:r>
      <w:r>
        <w:rPr>
          <w:rFonts w:hint="eastAsia" w:ascii="仿宋" w:hAnsi="仿宋" w:eastAsia="仿宋" w:cs="仿宋"/>
          <w:bCs/>
          <w:color w:val="000000"/>
          <w:kern w:val="0"/>
          <w:sz w:val="28"/>
          <w:szCs w:val="28"/>
          <w:lang w:val="en-US" w:eastAsia="zh-CN"/>
        </w:rPr>
        <w:t>组委会，</w:t>
      </w:r>
      <w:r>
        <w:rPr>
          <w:rFonts w:hint="default" w:ascii="仿宋" w:hAnsi="仿宋" w:eastAsia="仿宋" w:cs="仿宋"/>
          <w:bCs/>
          <w:color w:val="000000"/>
          <w:kern w:val="0"/>
          <w:sz w:val="28"/>
          <w:szCs w:val="28"/>
          <w:lang w:val="en-US" w:eastAsia="zh-CN"/>
        </w:rPr>
        <w:t>同时采取措施避免事态扩大。</w:t>
      </w:r>
      <w:r>
        <w:rPr>
          <w:rFonts w:hint="eastAsia" w:ascii="仿宋" w:hAnsi="仿宋" w:eastAsia="仿宋" w:cs="仿宋"/>
          <w:bCs/>
          <w:color w:val="000000"/>
          <w:kern w:val="0"/>
          <w:sz w:val="28"/>
          <w:szCs w:val="28"/>
          <w:lang w:val="en-US" w:eastAsia="zh-CN"/>
        </w:rPr>
        <w:t>组委会</w:t>
      </w:r>
      <w:r>
        <w:rPr>
          <w:rFonts w:hint="default" w:ascii="仿宋" w:hAnsi="仿宋" w:eastAsia="仿宋" w:cs="仿宋"/>
          <w:bCs/>
          <w:color w:val="000000"/>
          <w:kern w:val="0"/>
          <w:sz w:val="28"/>
          <w:szCs w:val="28"/>
          <w:lang w:val="en-US" w:eastAsia="zh-CN"/>
        </w:rPr>
        <w:t>应立即启动预案</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赛项出现重大安全问题可以停赛</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是否停赛由</w:t>
      </w:r>
      <w:r>
        <w:rPr>
          <w:rFonts w:hint="eastAsia" w:ascii="仿宋" w:hAnsi="仿宋" w:eastAsia="仿宋" w:cs="仿宋"/>
          <w:bCs/>
          <w:color w:val="000000"/>
          <w:kern w:val="0"/>
          <w:sz w:val="28"/>
          <w:szCs w:val="28"/>
          <w:lang w:val="en-US" w:eastAsia="zh-CN"/>
        </w:rPr>
        <w:t>组委会</w:t>
      </w:r>
      <w:r>
        <w:rPr>
          <w:rFonts w:hint="default" w:ascii="仿宋" w:hAnsi="仿宋" w:eastAsia="仿宋" w:cs="仿宋"/>
          <w:bCs/>
          <w:color w:val="000000"/>
          <w:kern w:val="0"/>
          <w:sz w:val="28"/>
          <w:szCs w:val="28"/>
          <w:lang w:val="en-US" w:eastAsia="zh-CN"/>
        </w:rPr>
        <w:t>决定。</w:t>
      </w:r>
    </w:p>
    <w:p w14:paraId="2A51BE2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十、成绩评定</w:t>
      </w:r>
    </w:p>
    <w:p w14:paraId="1AA03A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（一）评分标准</w:t>
      </w:r>
    </w:p>
    <w:p w14:paraId="48F848F5">
      <w:pPr>
        <w:pStyle w:val="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rPr>
          <w:rFonts w:hint="eastAsia" w:ascii="仿宋" w:hAnsi="仿宋" w:eastAsia="仿宋" w:cs="仿宋"/>
          <w:b/>
          <w:bCs/>
          <w:color w:val="000000"/>
          <w:kern w:val="2"/>
          <w:sz w:val="20"/>
          <w:szCs w:val="20"/>
          <w:lang w:val="en-US" w:eastAsia="zh-CN" w:bidi="ar-SA"/>
        </w:rPr>
      </w:pPr>
      <w:r>
        <w:rPr>
          <w:rFonts w:hint="eastAsia" w:ascii="仿宋" w:hAnsi="仿宋" w:eastAsia="仿宋" w:cs="仿宋"/>
          <w:b/>
          <w:bCs/>
          <w:color w:val="000000"/>
          <w:kern w:val="2"/>
          <w:sz w:val="20"/>
          <w:szCs w:val="20"/>
          <w:lang w:val="en-US" w:eastAsia="zh-CN" w:bidi="ar-SA"/>
        </w:rPr>
        <w:t>表10-1评分标准</w:t>
      </w: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93"/>
        <w:gridCol w:w="2372"/>
        <w:gridCol w:w="944"/>
        <w:gridCol w:w="2029"/>
        <w:gridCol w:w="777"/>
        <w:gridCol w:w="1190"/>
      </w:tblGrid>
      <w:tr w14:paraId="4BF9A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noWrap w:val="0"/>
            <w:vAlign w:val="center"/>
          </w:tcPr>
          <w:p w14:paraId="72AE38B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b/>
                <w:bCs/>
                <w:sz w:val="20"/>
                <w:szCs w:val="20"/>
              </w:rPr>
            </w:pPr>
            <w:r>
              <w:rPr>
                <w:rFonts w:hint="eastAsia" w:ascii="仿宋" w:hAnsi="仿宋" w:eastAsia="仿宋" w:cs="仿宋"/>
                <w:b/>
                <w:bCs/>
                <w:sz w:val="20"/>
                <w:szCs w:val="20"/>
              </w:rPr>
              <w:t>模块</w:t>
            </w:r>
          </w:p>
        </w:tc>
        <w:tc>
          <w:tcPr>
            <w:tcW w:w="2372" w:type="dxa"/>
            <w:noWrap w:val="0"/>
            <w:vAlign w:val="center"/>
          </w:tcPr>
          <w:p w14:paraId="5294D59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b/>
                <w:bCs/>
                <w:sz w:val="20"/>
                <w:szCs w:val="20"/>
              </w:rPr>
            </w:pPr>
            <w:r>
              <w:rPr>
                <w:rFonts w:hint="eastAsia" w:ascii="仿宋" w:hAnsi="仿宋" w:eastAsia="仿宋" w:cs="仿宋"/>
                <w:b/>
                <w:bCs/>
                <w:sz w:val="20"/>
                <w:szCs w:val="20"/>
              </w:rPr>
              <w:t>知识点/技能点</w:t>
            </w:r>
          </w:p>
        </w:tc>
        <w:tc>
          <w:tcPr>
            <w:tcW w:w="944" w:type="dxa"/>
            <w:noWrap w:val="0"/>
            <w:vAlign w:val="center"/>
          </w:tcPr>
          <w:p w14:paraId="3975E41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b/>
                <w:bCs/>
                <w:sz w:val="20"/>
                <w:szCs w:val="20"/>
              </w:rPr>
            </w:pPr>
            <w:r>
              <w:rPr>
                <w:rFonts w:hint="eastAsia" w:ascii="仿宋" w:hAnsi="仿宋" w:eastAsia="仿宋" w:cs="仿宋"/>
                <w:b/>
                <w:bCs/>
                <w:sz w:val="20"/>
                <w:szCs w:val="20"/>
              </w:rPr>
              <w:t>评分</w:t>
            </w:r>
          </w:p>
          <w:p w14:paraId="6AC19CB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b/>
                <w:bCs/>
                <w:sz w:val="20"/>
                <w:szCs w:val="20"/>
              </w:rPr>
            </w:pPr>
            <w:r>
              <w:rPr>
                <w:rFonts w:hint="eastAsia" w:ascii="仿宋" w:hAnsi="仿宋" w:eastAsia="仿宋" w:cs="仿宋"/>
                <w:b/>
                <w:bCs/>
                <w:sz w:val="20"/>
                <w:szCs w:val="20"/>
              </w:rPr>
              <w:t>内容</w:t>
            </w:r>
          </w:p>
        </w:tc>
        <w:tc>
          <w:tcPr>
            <w:tcW w:w="2029" w:type="dxa"/>
            <w:noWrap w:val="0"/>
            <w:vAlign w:val="center"/>
          </w:tcPr>
          <w:p w14:paraId="6EC7D8B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b/>
                <w:bCs/>
                <w:sz w:val="20"/>
                <w:szCs w:val="20"/>
              </w:rPr>
            </w:pPr>
            <w:r>
              <w:rPr>
                <w:rFonts w:hint="eastAsia" w:ascii="仿宋" w:hAnsi="仿宋" w:eastAsia="仿宋" w:cs="仿宋"/>
                <w:b/>
                <w:bCs/>
                <w:sz w:val="20"/>
                <w:szCs w:val="20"/>
              </w:rPr>
              <w:t>评分细则</w:t>
            </w:r>
          </w:p>
        </w:tc>
        <w:tc>
          <w:tcPr>
            <w:tcW w:w="777" w:type="dxa"/>
            <w:noWrap w:val="0"/>
            <w:vAlign w:val="center"/>
          </w:tcPr>
          <w:p w14:paraId="2537067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b/>
                <w:bCs/>
                <w:sz w:val="20"/>
                <w:szCs w:val="20"/>
              </w:rPr>
            </w:pPr>
            <w:r>
              <w:rPr>
                <w:rFonts w:hint="eastAsia" w:ascii="仿宋" w:hAnsi="仿宋" w:eastAsia="仿宋" w:cs="仿宋"/>
                <w:b/>
                <w:bCs/>
                <w:sz w:val="20"/>
                <w:szCs w:val="20"/>
              </w:rPr>
              <w:t>分值</w:t>
            </w:r>
          </w:p>
        </w:tc>
        <w:tc>
          <w:tcPr>
            <w:tcW w:w="1190" w:type="dxa"/>
            <w:noWrap w:val="0"/>
            <w:vAlign w:val="center"/>
          </w:tcPr>
          <w:p w14:paraId="7D99CDC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b/>
                <w:bCs/>
                <w:sz w:val="20"/>
                <w:szCs w:val="20"/>
              </w:rPr>
            </w:pPr>
            <w:r>
              <w:rPr>
                <w:rFonts w:hint="eastAsia" w:ascii="仿宋" w:hAnsi="仿宋" w:eastAsia="仿宋" w:cs="仿宋"/>
                <w:b/>
                <w:bCs/>
                <w:sz w:val="20"/>
                <w:szCs w:val="20"/>
              </w:rPr>
              <w:t>评分</w:t>
            </w:r>
          </w:p>
          <w:p w14:paraId="1764B26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b/>
                <w:bCs/>
                <w:sz w:val="20"/>
                <w:szCs w:val="20"/>
              </w:rPr>
            </w:pPr>
            <w:r>
              <w:rPr>
                <w:rFonts w:hint="eastAsia" w:ascii="仿宋" w:hAnsi="仿宋" w:eastAsia="仿宋" w:cs="仿宋"/>
                <w:b/>
                <w:bCs/>
                <w:sz w:val="20"/>
                <w:szCs w:val="20"/>
              </w:rPr>
              <w:t>方式</w:t>
            </w:r>
          </w:p>
        </w:tc>
      </w:tr>
      <w:tr w14:paraId="2A275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restart"/>
            <w:noWrap w:val="0"/>
            <w:vAlign w:val="center"/>
          </w:tcPr>
          <w:p w14:paraId="5BA9D52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直播策划</w:t>
            </w:r>
          </w:p>
        </w:tc>
        <w:tc>
          <w:tcPr>
            <w:tcW w:w="2372" w:type="dxa"/>
            <w:vMerge w:val="restart"/>
            <w:noWrap w:val="0"/>
            <w:vAlign w:val="center"/>
          </w:tcPr>
          <w:p w14:paraId="2EA96C1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知识点：</w:t>
            </w:r>
          </w:p>
          <w:p w14:paraId="353383F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1.直播选品的流程</w:t>
            </w:r>
          </w:p>
          <w:p w14:paraId="4C460FA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2.直播选品标准</w:t>
            </w:r>
          </w:p>
          <w:p w14:paraId="4957D46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3.商品定位原则</w:t>
            </w:r>
          </w:p>
          <w:p w14:paraId="47BCF41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4.商品价格策略</w:t>
            </w:r>
          </w:p>
          <w:p w14:paraId="68A3B80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5.直播主题类型</w:t>
            </w:r>
          </w:p>
          <w:p w14:paraId="131915F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6.互动方案策划要点</w:t>
            </w:r>
          </w:p>
          <w:p w14:paraId="38BFE5B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7.商品卖点提炼方法</w:t>
            </w:r>
          </w:p>
          <w:p w14:paraId="7C89413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8.直播脚本设计方法</w:t>
            </w:r>
          </w:p>
          <w:p w14:paraId="029770F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9.直播推广效果分析及实施</w:t>
            </w:r>
          </w:p>
          <w:p w14:paraId="1239034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p w14:paraId="6223C19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技能点：</w:t>
            </w:r>
          </w:p>
          <w:p w14:paraId="55D38B8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1.运营资金规划</w:t>
            </w:r>
          </w:p>
          <w:p w14:paraId="5473B7C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2.直播选品</w:t>
            </w:r>
          </w:p>
          <w:p w14:paraId="0E90554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3.直播商品角色定位</w:t>
            </w:r>
          </w:p>
          <w:p w14:paraId="7FFB5CB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4.直播商品定价</w:t>
            </w:r>
          </w:p>
          <w:p w14:paraId="0653398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5.销售策略制定</w:t>
            </w:r>
          </w:p>
          <w:p w14:paraId="09AC77F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6.直播互动方案策划</w:t>
            </w:r>
          </w:p>
          <w:p w14:paraId="7AD1D42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7.直播脚本设计</w:t>
            </w:r>
          </w:p>
          <w:p w14:paraId="331228B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8.目标客户分析</w:t>
            </w:r>
          </w:p>
          <w:p w14:paraId="3A0A467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9.直播推广目标制定</w:t>
            </w:r>
          </w:p>
          <w:p w14:paraId="091CFBB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10.直播推广策略制定</w:t>
            </w:r>
          </w:p>
        </w:tc>
        <w:tc>
          <w:tcPr>
            <w:tcW w:w="944" w:type="dxa"/>
            <w:vMerge w:val="restart"/>
            <w:noWrap w:val="0"/>
            <w:vAlign w:val="center"/>
          </w:tcPr>
          <w:p w14:paraId="020608F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直播商品管理</w:t>
            </w:r>
          </w:p>
        </w:tc>
        <w:tc>
          <w:tcPr>
            <w:tcW w:w="2029" w:type="dxa"/>
            <w:noWrap w:val="0"/>
            <w:vAlign w:val="center"/>
          </w:tcPr>
          <w:p w14:paraId="75FD41A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直播选品合理</w:t>
            </w:r>
          </w:p>
        </w:tc>
        <w:tc>
          <w:tcPr>
            <w:tcW w:w="777" w:type="dxa"/>
            <w:noWrap w:val="0"/>
            <w:vAlign w:val="center"/>
          </w:tcPr>
          <w:p w14:paraId="53A531A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17037C5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6542E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78D3B9B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13EC726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3FADB90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503B999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商品角色定位准确</w:t>
            </w:r>
          </w:p>
        </w:tc>
        <w:tc>
          <w:tcPr>
            <w:tcW w:w="777" w:type="dxa"/>
            <w:noWrap w:val="0"/>
            <w:vAlign w:val="center"/>
          </w:tcPr>
          <w:p w14:paraId="6C2A6E1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0216F87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62E76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56DD79C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7FA4E06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355F29F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5526931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商品采购及定价合理</w:t>
            </w:r>
          </w:p>
        </w:tc>
        <w:tc>
          <w:tcPr>
            <w:tcW w:w="777" w:type="dxa"/>
            <w:noWrap w:val="0"/>
            <w:vAlign w:val="center"/>
          </w:tcPr>
          <w:p w14:paraId="2E3C1CD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23CCB6A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15F2D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65D69F9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4C0EF96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4E4C5BA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592FEF5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商品销售策略制定合理</w:t>
            </w:r>
          </w:p>
        </w:tc>
        <w:tc>
          <w:tcPr>
            <w:tcW w:w="777" w:type="dxa"/>
            <w:noWrap w:val="0"/>
            <w:vAlign w:val="center"/>
          </w:tcPr>
          <w:p w14:paraId="0C3F688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1077008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49725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4F85E77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4C38140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restart"/>
            <w:noWrap w:val="0"/>
            <w:vAlign w:val="center"/>
          </w:tcPr>
          <w:p w14:paraId="056766E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直播内容策划</w:t>
            </w:r>
          </w:p>
        </w:tc>
        <w:tc>
          <w:tcPr>
            <w:tcW w:w="2029" w:type="dxa"/>
            <w:noWrap w:val="0"/>
            <w:vAlign w:val="center"/>
          </w:tcPr>
          <w:p w14:paraId="1FAEB42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直播主题及时间策划合理</w:t>
            </w:r>
          </w:p>
        </w:tc>
        <w:tc>
          <w:tcPr>
            <w:tcW w:w="777" w:type="dxa"/>
            <w:noWrap w:val="0"/>
            <w:vAlign w:val="center"/>
          </w:tcPr>
          <w:p w14:paraId="2F878CD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68A220F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06B9F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5BBA27C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23EA3ED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3086432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vMerge w:val="restart"/>
            <w:noWrap w:val="0"/>
            <w:vAlign w:val="center"/>
          </w:tcPr>
          <w:p w14:paraId="0A3F728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直播互动内容设计合理</w:t>
            </w:r>
          </w:p>
        </w:tc>
        <w:tc>
          <w:tcPr>
            <w:tcW w:w="777" w:type="dxa"/>
            <w:noWrap w:val="0"/>
            <w:vAlign w:val="center"/>
          </w:tcPr>
          <w:p w14:paraId="4D3626D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0E1FBA8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7DBB8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6B0248F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1126963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4F2FC44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vMerge w:val="continue"/>
            <w:noWrap w:val="0"/>
            <w:vAlign w:val="center"/>
          </w:tcPr>
          <w:p w14:paraId="30DB27F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777" w:type="dxa"/>
            <w:noWrap w:val="0"/>
            <w:vAlign w:val="center"/>
          </w:tcPr>
          <w:p w14:paraId="0C2571D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34ECA9D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54A914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75D9B70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35B6D06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2ABCC56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584DFE4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直播流程及各环节时间合理</w:t>
            </w:r>
          </w:p>
        </w:tc>
        <w:tc>
          <w:tcPr>
            <w:tcW w:w="777" w:type="dxa"/>
            <w:noWrap w:val="0"/>
            <w:vAlign w:val="center"/>
          </w:tcPr>
          <w:p w14:paraId="263B8F4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2597A48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6F63A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1AD4373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12285A6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54003AF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vMerge w:val="restart"/>
            <w:noWrap w:val="0"/>
            <w:vAlign w:val="center"/>
          </w:tcPr>
          <w:p w14:paraId="317D478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直播脚本逻辑清晰且有创意</w:t>
            </w:r>
          </w:p>
        </w:tc>
        <w:tc>
          <w:tcPr>
            <w:tcW w:w="777" w:type="dxa"/>
            <w:noWrap w:val="0"/>
            <w:vAlign w:val="center"/>
          </w:tcPr>
          <w:p w14:paraId="483BB9B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4分</w:t>
            </w:r>
          </w:p>
        </w:tc>
        <w:tc>
          <w:tcPr>
            <w:tcW w:w="1190" w:type="dxa"/>
            <w:noWrap w:val="0"/>
            <w:vAlign w:val="center"/>
          </w:tcPr>
          <w:p w14:paraId="4A42D62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330091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1536209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1705FAD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44CD64E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vMerge w:val="continue"/>
            <w:noWrap w:val="0"/>
            <w:vAlign w:val="center"/>
          </w:tcPr>
          <w:p w14:paraId="4F29B12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777" w:type="dxa"/>
            <w:noWrap w:val="0"/>
            <w:vAlign w:val="center"/>
          </w:tcPr>
          <w:p w14:paraId="38175AF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4分</w:t>
            </w:r>
          </w:p>
        </w:tc>
        <w:tc>
          <w:tcPr>
            <w:tcW w:w="1190" w:type="dxa"/>
            <w:noWrap w:val="0"/>
            <w:vAlign w:val="center"/>
          </w:tcPr>
          <w:p w14:paraId="7F87A8D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52407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6C1956F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666EA60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restart"/>
            <w:noWrap w:val="0"/>
            <w:vAlign w:val="center"/>
          </w:tcPr>
          <w:p w14:paraId="4E9F399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直播推广策划</w:t>
            </w:r>
          </w:p>
        </w:tc>
        <w:tc>
          <w:tcPr>
            <w:tcW w:w="2029" w:type="dxa"/>
            <w:noWrap w:val="0"/>
            <w:vAlign w:val="center"/>
          </w:tcPr>
          <w:p w14:paraId="15F0AB4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通过对年龄分布、性别分布、区域分布、人群分布等维度的数据进行精准定向分析，形成客户画像</w:t>
            </w:r>
          </w:p>
        </w:tc>
        <w:tc>
          <w:tcPr>
            <w:tcW w:w="777" w:type="dxa"/>
            <w:noWrap w:val="0"/>
            <w:vAlign w:val="center"/>
          </w:tcPr>
          <w:p w14:paraId="3198585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73ACF4D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24AA21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41F5D73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566DD53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279895F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65B55CE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推广目标、预算、出价、方案等设置合理</w:t>
            </w:r>
          </w:p>
        </w:tc>
        <w:tc>
          <w:tcPr>
            <w:tcW w:w="777" w:type="dxa"/>
            <w:noWrap w:val="0"/>
            <w:vAlign w:val="center"/>
          </w:tcPr>
          <w:p w14:paraId="013402E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386AA51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10B53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52D78F5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73CCAD0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065B550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596F848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广告投放精准，有效提升展现量、点击量、点击率等指标数值</w:t>
            </w:r>
          </w:p>
        </w:tc>
        <w:tc>
          <w:tcPr>
            <w:tcW w:w="777" w:type="dxa"/>
            <w:noWrap w:val="0"/>
            <w:vAlign w:val="center"/>
          </w:tcPr>
          <w:p w14:paraId="7676B3F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5分</w:t>
            </w:r>
          </w:p>
        </w:tc>
        <w:tc>
          <w:tcPr>
            <w:tcW w:w="1190" w:type="dxa"/>
            <w:noWrap w:val="0"/>
            <w:vAlign w:val="center"/>
          </w:tcPr>
          <w:p w14:paraId="59E0E0C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7761C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restart"/>
            <w:noWrap w:val="0"/>
            <w:vAlign w:val="center"/>
          </w:tcPr>
          <w:p w14:paraId="35DE312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直播运营</w:t>
            </w:r>
          </w:p>
        </w:tc>
        <w:tc>
          <w:tcPr>
            <w:tcW w:w="2372" w:type="dxa"/>
            <w:vMerge w:val="restart"/>
            <w:noWrap w:val="0"/>
            <w:vAlign w:val="center"/>
          </w:tcPr>
          <w:p w14:paraId="69FD803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知识点：</w:t>
            </w:r>
          </w:p>
          <w:p w14:paraId="48DB89B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1.直播间装修要点</w:t>
            </w:r>
          </w:p>
          <w:p w14:paraId="224A458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2.商品讲解方法</w:t>
            </w:r>
          </w:p>
          <w:p w14:paraId="5B65B63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3.主播礼仪规范</w:t>
            </w:r>
          </w:p>
          <w:p w14:paraId="0F36ED8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4.直播节奏把控要点</w:t>
            </w:r>
          </w:p>
          <w:p w14:paraId="4F9B285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5.主播人设塑造方法</w:t>
            </w:r>
          </w:p>
          <w:p w14:paraId="721465B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6.直播互动类型</w:t>
            </w:r>
          </w:p>
          <w:p w14:paraId="2CC06D7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7.交易促成方法</w:t>
            </w:r>
          </w:p>
          <w:p w14:paraId="4E0C932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8.直播平台规则</w:t>
            </w:r>
          </w:p>
          <w:p w14:paraId="4A94207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9.直播突发状况类型</w:t>
            </w:r>
          </w:p>
          <w:p w14:paraId="44BD32C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p w14:paraId="6C16AF6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技能点：</w:t>
            </w:r>
          </w:p>
          <w:p w14:paraId="34E4CC7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1.直播间装修</w:t>
            </w:r>
          </w:p>
          <w:p w14:paraId="6FE99A9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2.直播销售讲解</w:t>
            </w:r>
          </w:p>
          <w:p w14:paraId="75B6D09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3.直播互动营销</w:t>
            </w:r>
          </w:p>
          <w:p w14:paraId="775F7BA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4.直播突发状况处理</w:t>
            </w:r>
          </w:p>
          <w:p w14:paraId="6D6D92C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5.直播节奏把控</w:t>
            </w:r>
          </w:p>
          <w:p w14:paraId="3CF010A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p w14:paraId="38D671D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p w14:paraId="2E02C64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restart"/>
            <w:noWrap w:val="0"/>
            <w:vAlign w:val="center"/>
          </w:tcPr>
          <w:p w14:paraId="340BDAF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直播间装修</w:t>
            </w:r>
          </w:p>
        </w:tc>
        <w:tc>
          <w:tcPr>
            <w:tcW w:w="2029" w:type="dxa"/>
            <w:noWrap w:val="0"/>
            <w:vAlign w:val="center"/>
          </w:tcPr>
          <w:p w14:paraId="295E633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直播间欢迎语准确</w:t>
            </w:r>
          </w:p>
        </w:tc>
        <w:tc>
          <w:tcPr>
            <w:tcW w:w="777" w:type="dxa"/>
            <w:noWrap w:val="0"/>
            <w:vAlign w:val="center"/>
          </w:tcPr>
          <w:p w14:paraId="69BE493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74EC7D2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37E4CE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32A3628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18110AA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06B4698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0022C1B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直播间屏蔽词设置准确</w:t>
            </w:r>
          </w:p>
        </w:tc>
        <w:tc>
          <w:tcPr>
            <w:tcW w:w="777" w:type="dxa"/>
            <w:noWrap w:val="0"/>
            <w:vAlign w:val="center"/>
          </w:tcPr>
          <w:p w14:paraId="21A3506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7CCF111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76316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771728C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20D8753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2EC0DAC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60C4147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直播间快捷短语设置准确</w:t>
            </w:r>
          </w:p>
        </w:tc>
        <w:tc>
          <w:tcPr>
            <w:tcW w:w="777" w:type="dxa"/>
            <w:noWrap w:val="0"/>
            <w:vAlign w:val="center"/>
          </w:tcPr>
          <w:p w14:paraId="6EDCB14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6682699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7DDA4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7341D2E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7EA1EEF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2FE360E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22E10CF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直播间场景布置合理</w:t>
            </w:r>
          </w:p>
        </w:tc>
        <w:tc>
          <w:tcPr>
            <w:tcW w:w="777" w:type="dxa"/>
            <w:noWrap w:val="0"/>
            <w:vAlign w:val="center"/>
          </w:tcPr>
          <w:p w14:paraId="5DDC02C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44E8614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60304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463634F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59123DE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246F2B5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5B9E1A1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直播间信息设置合理</w:t>
            </w:r>
          </w:p>
        </w:tc>
        <w:tc>
          <w:tcPr>
            <w:tcW w:w="777" w:type="dxa"/>
            <w:noWrap w:val="0"/>
            <w:vAlign w:val="center"/>
          </w:tcPr>
          <w:p w14:paraId="1F49D65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002392C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01B78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6AD762F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3DFBD87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59129A6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3583574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商品标题设计合理</w:t>
            </w:r>
          </w:p>
        </w:tc>
        <w:tc>
          <w:tcPr>
            <w:tcW w:w="777" w:type="dxa"/>
            <w:noWrap w:val="0"/>
            <w:vAlign w:val="center"/>
          </w:tcPr>
          <w:p w14:paraId="2A3055A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487BFCB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4AD23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42BEDB7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7AF708F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1623F1A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vMerge w:val="restart"/>
            <w:noWrap w:val="0"/>
            <w:vAlign w:val="center"/>
          </w:tcPr>
          <w:p w14:paraId="3D954A1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商品主图设计准确</w:t>
            </w:r>
          </w:p>
        </w:tc>
        <w:tc>
          <w:tcPr>
            <w:tcW w:w="777" w:type="dxa"/>
            <w:noWrap w:val="0"/>
            <w:vAlign w:val="center"/>
          </w:tcPr>
          <w:p w14:paraId="07C4797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0081833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51112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4D96E70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2CEA768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4CFBAE9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vMerge w:val="continue"/>
            <w:noWrap w:val="0"/>
            <w:vAlign w:val="center"/>
          </w:tcPr>
          <w:p w14:paraId="7DA94BE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777" w:type="dxa"/>
            <w:noWrap w:val="0"/>
            <w:vAlign w:val="center"/>
          </w:tcPr>
          <w:p w14:paraId="307064B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4C9EE87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7DEF1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7B17526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0D2022A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626B999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vMerge w:val="restart"/>
            <w:noWrap w:val="0"/>
            <w:vAlign w:val="center"/>
          </w:tcPr>
          <w:p w14:paraId="10F7F95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商品详情页设置准确</w:t>
            </w:r>
          </w:p>
        </w:tc>
        <w:tc>
          <w:tcPr>
            <w:tcW w:w="777" w:type="dxa"/>
            <w:noWrap w:val="0"/>
            <w:vAlign w:val="center"/>
          </w:tcPr>
          <w:p w14:paraId="3875007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54B4300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03B52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279A071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17C5C69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298CCB1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vMerge w:val="continue"/>
            <w:noWrap w:val="0"/>
            <w:vAlign w:val="center"/>
          </w:tcPr>
          <w:p w14:paraId="660F49B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777" w:type="dxa"/>
            <w:noWrap w:val="0"/>
            <w:vAlign w:val="center"/>
          </w:tcPr>
          <w:p w14:paraId="5008050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3EC4546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4F4D56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28BAAEF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5EAF4AF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restart"/>
            <w:noWrap w:val="0"/>
            <w:vAlign w:val="center"/>
          </w:tcPr>
          <w:p w14:paraId="01270D1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直播销售</w:t>
            </w:r>
          </w:p>
        </w:tc>
        <w:tc>
          <w:tcPr>
            <w:tcW w:w="2029" w:type="dxa"/>
            <w:noWrap w:val="0"/>
            <w:vAlign w:val="center"/>
          </w:tcPr>
          <w:p w14:paraId="172C79E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直播开场预热要素完整</w:t>
            </w:r>
          </w:p>
        </w:tc>
        <w:tc>
          <w:tcPr>
            <w:tcW w:w="777" w:type="dxa"/>
            <w:noWrap w:val="0"/>
            <w:vAlign w:val="center"/>
          </w:tcPr>
          <w:p w14:paraId="26D822A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0A8D1CA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015499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6B371B0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2C1BF18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7B854F1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2B9165D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商品引入话术合理</w:t>
            </w:r>
          </w:p>
        </w:tc>
        <w:tc>
          <w:tcPr>
            <w:tcW w:w="777" w:type="dxa"/>
            <w:noWrap w:val="0"/>
            <w:vAlign w:val="center"/>
          </w:tcPr>
          <w:p w14:paraId="108F4B4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532C600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76E869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391FEB3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33B0F84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68BF9CD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505B590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商品属性及卖点讲解准确</w:t>
            </w:r>
          </w:p>
        </w:tc>
        <w:tc>
          <w:tcPr>
            <w:tcW w:w="777" w:type="dxa"/>
            <w:noWrap w:val="0"/>
            <w:vAlign w:val="center"/>
          </w:tcPr>
          <w:p w14:paraId="0EEE802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4分</w:t>
            </w:r>
          </w:p>
        </w:tc>
        <w:tc>
          <w:tcPr>
            <w:tcW w:w="1190" w:type="dxa"/>
            <w:noWrap w:val="0"/>
            <w:vAlign w:val="center"/>
          </w:tcPr>
          <w:p w14:paraId="6DBFFEA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54D7A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52A83DA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51E56EA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417908C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3757CC9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销售促单具有吸引力</w:t>
            </w:r>
          </w:p>
        </w:tc>
        <w:tc>
          <w:tcPr>
            <w:tcW w:w="777" w:type="dxa"/>
            <w:noWrap w:val="0"/>
            <w:vAlign w:val="center"/>
          </w:tcPr>
          <w:p w14:paraId="08A9044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4990A6D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4FD65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1793A48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46B2AE0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130728A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2301079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直播收尾讲解要素完整</w:t>
            </w:r>
          </w:p>
        </w:tc>
        <w:tc>
          <w:tcPr>
            <w:tcW w:w="777" w:type="dxa"/>
            <w:noWrap w:val="0"/>
            <w:vAlign w:val="center"/>
          </w:tcPr>
          <w:p w14:paraId="340AED0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431A8C6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42D16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46E07DD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2983C3E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07FB4B4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26FEF01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主播礼仪得体、形象良好、人设鲜明</w:t>
            </w:r>
          </w:p>
        </w:tc>
        <w:tc>
          <w:tcPr>
            <w:tcW w:w="777" w:type="dxa"/>
            <w:noWrap w:val="0"/>
            <w:vAlign w:val="center"/>
          </w:tcPr>
          <w:p w14:paraId="44CB900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4BC6C9E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38C42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31FC910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294A7BA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513F728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1FBB002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商品上架及时</w:t>
            </w:r>
          </w:p>
        </w:tc>
        <w:tc>
          <w:tcPr>
            <w:tcW w:w="777" w:type="dxa"/>
            <w:noWrap w:val="0"/>
            <w:vAlign w:val="center"/>
          </w:tcPr>
          <w:p w14:paraId="09E4A83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14306DF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47467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4BD2E1C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23A45A1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1B7A2BC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2783185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直播达到规定时长</w:t>
            </w:r>
          </w:p>
        </w:tc>
        <w:tc>
          <w:tcPr>
            <w:tcW w:w="777" w:type="dxa"/>
            <w:noWrap w:val="0"/>
            <w:vAlign w:val="center"/>
          </w:tcPr>
          <w:p w14:paraId="2B7F603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3FA04AA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6C857B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1D5AA02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7DF43CA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4210B5A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4947477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新增粉丝100个，此项按比例给分</w:t>
            </w:r>
          </w:p>
        </w:tc>
        <w:tc>
          <w:tcPr>
            <w:tcW w:w="777" w:type="dxa"/>
            <w:noWrap w:val="0"/>
            <w:vAlign w:val="center"/>
          </w:tcPr>
          <w:p w14:paraId="6759552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110B314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5CC5E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155ACFC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3740538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3FB9F33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7B10E80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每种商品出20单即得1分，此项按比例给分</w:t>
            </w:r>
          </w:p>
        </w:tc>
        <w:tc>
          <w:tcPr>
            <w:tcW w:w="777" w:type="dxa"/>
            <w:noWrap w:val="0"/>
            <w:vAlign w:val="center"/>
          </w:tcPr>
          <w:p w14:paraId="4521EB1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4144ABE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37830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372CBC2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67D6FB7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36B0E02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6980626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平均观看时长合理，此项按排序给分</w:t>
            </w:r>
          </w:p>
        </w:tc>
        <w:tc>
          <w:tcPr>
            <w:tcW w:w="777" w:type="dxa"/>
            <w:noWrap w:val="0"/>
            <w:vAlign w:val="center"/>
          </w:tcPr>
          <w:p w14:paraId="42888CD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5E1CF1D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3B47F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2F40DC7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7AC4F08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top"/>
          </w:tcPr>
          <w:p w14:paraId="1D01278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55DF556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利润率合理，此项按排序给分</w:t>
            </w:r>
          </w:p>
        </w:tc>
        <w:tc>
          <w:tcPr>
            <w:tcW w:w="777" w:type="dxa"/>
            <w:noWrap w:val="0"/>
            <w:vAlign w:val="center"/>
          </w:tcPr>
          <w:p w14:paraId="740B1B6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5A56EB7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2AAF41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612BD62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743B3EB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restart"/>
            <w:noWrap w:val="0"/>
            <w:vAlign w:val="center"/>
          </w:tcPr>
          <w:p w14:paraId="3FFDFB8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直播互动</w:t>
            </w:r>
          </w:p>
        </w:tc>
        <w:tc>
          <w:tcPr>
            <w:tcW w:w="2029" w:type="dxa"/>
            <w:noWrap w:val="0"/>
            <w:vAlign w:val="center"/>
          </w:tcPr>
          <w:p w14:paraId="780C9A1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互动方式合理</w:t>
            </w:r>
          </w:p>
        </w:tc>
        <w:tc>
          <w:tcPr>
            <w:tcW w:w="777" w:type="dxa"/>
            <w:noWrap w:val="0"/>
            <w:vAlign w:val="center"/>
          </w:tcPr>
          <w:p w14:paraId="09A2D03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6232BC2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74935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476AA06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3671037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0E55994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55BEE4C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互动实施准确</w:t>
            </w:r>
          </w:p>
        </w:tc>
        <w:tc>
          <w:tcPr>
            <w:tcW w:w="777" w:type="dxa"/>
            <w:noWrap w:val="0"/>
            <w:vAlign w:val="center"/>
          </w:tcPr>
          <w:p w14:paraId="7089736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09926DE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569668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6189DF9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5CDF571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5FDB3AA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2173A8A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互动节奏把控合理</w:t>
            </w:r>
          </w:p>
        </w:tc>
        <w:tc>
          <w:tcPr>
            <w:tcW w:w="777" w:type="dxa"/>
            <w:noWrap w:val="0"/>
            <w:vAlign w:val="center"/>
          </w:tcPr>
          <w:p w14:paraId="0C69537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3分</w:t>
            </w:r>
          </w:p>
        </w:tc>
        <w:tc>
          <w:tcPr>
            <w:tcW w:w="1190" w:type="dxa"/>
            <w:noWrap w:val="0"/>
            <w:vAlign w:val="center"/>
          </w:tcPr>
          <w:p w14:paraId="3E0CD7F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2DFD3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restart"/>
            <w:noWrap w:val="0"/>
            <w:vAlign w:val="center"/>
          </w:tcPr>
          <w:p w14:paraId="10F1C48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直播复盘</w:t>
            </w:r>
          </w:p>
        </w:tc>
        <w:tc>
          <w:tcPr>
            <w:tcW w:w="2372" w:type="dxa"/>
            <w:vMerge w:val="restart"/>
            <w:noWrap w:val="0"/>
            <w:vAlign w:val="center"/>
          </w:tcPr>
          <w:p w14:paraId="3E25056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知识点：</w:t>
            </w:r>
          </w:p>
          <w:p w14:paraId="6EDFFF1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1.直播数据分析流程</w:t>
            </w:r>
          </w:p>
          <w:p w14:paraId="4B99635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2.直播数据分析维度</w:t>
            </w:r>
          </w:p>
          <w:p w14:paraId="202D2A2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p w14:paraId="520C3C2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技能点：</w:t>
            </w:r>
          </w:p>
          <w:p w14:paraId="49A7BAC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textAlignment w:val="auto"/>
              <w:rPr>
                <w:rFonts w:hint="eastAsia" w:ascii="仿宋" w:hAnsi="仿宋" w:eastAsia="仿宋" w:cs="仿宋"/>
                <w:sz w:val="20"/>
                <w:szCs w:val="20"/>
              </w:rPr>
            </w:pPr>
            <w:r>
              <w:rPr>
                <w:rFonts w:hint="eastAsia" w:ascii="仿宋" w:hAnsi="仿宋" w:eastAsia="仿宋" w:cs="仿宋"/>
                <w:sz w:val="20"/>
                <w:szCs w:val="20"/>
              </w:rPr>
              <w:t>1.直播数据分析与优化</w:t>
            </w:r>
          </w:p>
        </w:tc>
        <w:tc>
          <w:tcPr>
            <w:tcW w:w="944" w:type="dxa"/>
            <w:vMerge w:val="restart"/>
            <w:noWrap w:val="0"/>
            <w:vAlign w:val="center"/>
          </w:tcPr>
          <w:p w14:paraId="7A9B4E1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直播数据分析与优化</w:t>
            </w:r>
          </w:p>
        </w:tc>
        <w:tc>
          <w:tcPr>
            <w:tcW w:w="2029" w:type="dxa"/>
            <w:noWrap w:val="0"/>
            <w:vAlign w:val="center"/>
          </w:tcPr>
          <w:p w14:paraId="6A6B875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流量数据指标值合理，此项按排序给分</w:t>
            </w:r>
          </w:p>
        </w:tc>
        <w:tc>
          <w:tcPr>
            <w:tcW w:w="777" w:type="dxa"/>
            <w:noWrap w:val="0"/>
            <w:vAlign w:val="center"/>
          </w:tcPr>
          <w:p w14:paraId="2CCEB34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0F0BCE0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3AC16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27D8AFE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1AC6BF1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4F8D3E1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2E8FC1D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销售数据指标值合理，此项按排序给分</w:t>
            </w:r>
          </w:p>
        </w:tc>
        <w:tc>
          <w:tcPr>
            <w:tcW w:w="777" w:type="dxa"/>
            <w:noWrap w:val="0"/>
            <w:vAlign w:val="center"/>
          </w:tcPr>
          <w:p w14:paraId="1932A05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2分</w:t>
            </w:r>
          </w:p>
        </w:tc>
        <w:tc>
          <w:tcPr>
            <w:tcW w:w="1190" w:type="dxa"/>
            <w:noWrap w:val="0"/>
            <w:vAlign w:val="center"/>
          </w:tcPr>
          <w:p w14:paraId="22D5259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6BA9E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center"/>
          </w:tcPr>
          <w:p w14:paraId="58AEC4E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44B8846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03A103E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7021EA9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用户数据指标值合理，此项按排序给分</w:t>
            </w:r>
          </w:p>
        </w:tc>
        <w:tc>
          <w:tcPr>
            <w:tcW w:w="777" w:type="dxa"/>
            <w:noWrap w:val="0"/>
            <w:vAlign w:val="center"/>
          </w:tcPr>
          <w:p w14:paraId="7462DF0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1分</w:t>
            </w:r>
          </w:p>
        </w:tc>
        <w:tc>
          <w:tcPr>
            <w:tcW w:w="1190" w:type="dxa"/>
            <w:noWrap w:val="0"/>
            <w:vAlign w:val="center"/>
          </w:tcPr>
          <w:p w14:paraId="2841EB8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机考评分</w:t>
            </w:r>
          </w:p>
        </w:tc>
      </w:tr>
      <w:tr w14:paraId="186F8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018D794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723E8F3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61777E0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4DDA708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数据分析准确，直播及推广亮点与不足提炼准确</w:t>
            </w:r>
          </w:p>
        </w:tc>
        <w:tc>
          <w:tcPr>
            <w:tcW w:w="777" w:type="dxa"/>
            <w:noWrap w:val="0"/>
            <w:vAlign w:val="center"/>
          </w:tcPr>
          <w:p w14:paraId="2A5D631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8分</w:t>
            </w:r>
          </w:p>
        </w:tc>
        <w:tc>
          <w:tcPr>
            <w:tcW w:w="1190" w:type="dxa"/>
            <w:noWrap w:val="0"/>
            <w:vAlign w:val="center"/>
          </w:tcPr>
          <w:p w14:paraId="6361012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r w14:paraId="41E92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3" w:type="dxa"/>
            <w:vMerge w:val="continue"/>
            <w:noWrap w:val="0"/>
            <w:vAlign w:val="top"/>
          </w:tcPr>
          <w:p w14:paraId="070110B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372" w:type="dxa"/>
            <w:vMerge w:val="continue"/>
            <w:noWrap w:val="0"/>
            <w:vAlign w:val="center"/>
          </w:tcPr>
          <w:p w14:paraId="01475CD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944" w:type="dxa"/>
            <w:vMerge w:val="continue"/>
            <w:noWrap w:val="0"/>
            <w:vAlign w:val="center"/>
          </w:tcPr>
          <w:p w14:paraId="6A7624B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p>
        </w:tc>
        <w:tc>
          <w:tcPr>
            <w:tcW w:w="2029" w:type="dxa"/>
            <w:noWrap w:val="0"/>
            <w:vAlign w:val="center"/>
          </w:tcPr>
          <w:p w14:paraId="7F0C5D9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优化方案设计合理</w:t>
            </w:r>
          </w:p>
        </w:tc>
        <w:tc>
          <w:tcPr>
            <w:tcW w:w="777" w:type="dxa"/>
            <w:noWrap w:val="0"/>
            <w:vAlign w:val="center"/>
          </w:tcPr>
          <w:p w14:paraId="0DC4CE8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7分</w:t>
            </w:r>
          </w:p>
        </w:tc>
        <w:tc>
          <w:tcPr>
            <w:tcW w:w="1190" w:type="dxa"/>
            <w:noWrap w:val="0"/>
            <w:vAlign w:val="center"/>
          </w:tcPr>
          <w:p w14:paraId="72EDED2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firstLine="0" w:firstLineChars="0"/>
              <w:jc w:val="center"/>
              <w:textAlignment w:val="auto"/>
              <w:rPr>
                <w:rFonts w:hint="eastAsia" w:ascii="仿宋" w:hAnsi="仿宋" w:eastAsia="仿宋" w:cs="仿宋"/>
                <w:sz w:val="20"/>
                <w:szCs w:val="20"/>
              </w:rPr>
            </w:pPr>
            <w:r>
              <w:rPr>
                <w:rFonts w:hint="eastAsia" w:ascii="仿宋" w:hAnsi="仿宋" w:eastAsia="仿宋" w:cs="仿宋"/>
                <w:sz w:val="20"/>
                <w:szCs w:val="20"/>
              </w:rPr>
              <w:t>结果评分</w:t>
            </w:r>
          </w:p>
        </w:tc>
      </w:tr>
    </w:tbl>
    <w:p w14:paraId="0A5D3BD4">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562" w:firstLineChars="200"/>
        <w:rPr>
          <w:rFonts w:hint="default"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（二）评分方式</w:t>
      </w:r>
    </w:p>
    <w:p w14:paraId="7A754D8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1.参与大赛赛项成绩管理的组织机构包括裁判组和监督仲裁组,接受大赛办领导。</w:t>
      </w:r>
    </w:p>
    <w:p w14:paraId="5C087B5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2.裁判分为加密裁判、现场裁判和评分裁判。</w:t>
      </w:r>
    </w:p>
    <w:p w14:paraId="1AED3C2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3.评分方法：机考评分或结果评分。</w:t>
      </w:r>
    </w:p>
    <w:p w14:paraId="30BE88E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4.成绩产生方法：按 100 分制计分，由高到低进行排名，如出现总成绩相同的情况，优先以直播运营成绩进行排名，若直播运营成绩仍相同，则按直播策划成绩进行排名，若直播策划成绩仍相同，则按直播复盘成绩进行排名。</w:t>
      </w:r>
    </w:p>
    <w:p w14:paraId="65DC8D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5.成绩审核方法：为保障成绩评判的准确性，监督仲裁组将对赛项总成绩排名前 30% 的所有参赛队伍的成绩进行复核；对其余成绩进行抽检复核，抽检覆盖率不得低于 15% 。监督仲裁组需将复检中发现的错误以书面方式及时告知裁判长，由裁判长更正成绩并签字确认。复核、抽检错误率超过 5 %的，裁判组需对所有成绩进行复核。</w:t>
      </w:r>
    </w:p>
    <w:p w14:paraId="7786861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highlight w:val="yellow"/>
          <w:lang w:val="en-US" w:eastAsia="zh-CN"/>
        </w:rPr>
      </w:pPr>
      <w:r>
        <w:rPr>
          <w:rFonts w:hint="eastAsia" w:ascii="仿宋" w:hAnsi="仿宋" w:eastAsia="仿宋" w:cs="仿宋"/>
          <w:bCs/>
          <w:color w:val="000000"/>
          <w:kern w:val="0"/>
          <w:sz w:val="28"/>
          <w:szCs w:val="28"/>
          <w:highlight w:val="yellow"/>
          <w:lang w:val="en-US" w:eastAsia="zh-CN"/>
        </w:rPr>
        <w:t>6.成绩公布方法：竞赛总成绩复核无误后，经赛项裁判长、监督仲裁人员签字确认，在指定地点以纸质形式向全体参赛队公布比赛结果，2小时无异议后，予以宣布。</w:t>
      </w:r>
    </w:p>
    <w:p w14:paraId="3910E35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十二、奖项设定</w:t>
      </w:r>
    </w:p>
    <w:p w14:paraId="3FE51FB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1.设团体一、二、三等奖，以赛项实际参赛队总数为基数，一、二、三等奖获奖比例分别为 10%、20%、30% （小数点后四舍五入）。</w:t>
      </w:r>
    </w:p>
    <w:p w14:paraId="7B382E3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highlight w:val="yellow"/>
          <w:lang w:val="en-US" w:eastAsia="zh-CN"/>
        </w:rPr>
      </w:pPr>
      <w:r>
        <w:rPr>
          <w:rFonts w:hint="eastAsia" w:ascii="仿宋" w:hAnsi="仿宋" w:eastAsia="仿宋" w:cs="仿宋"/>
          <w:bCs/>
          <w:color w:val="000000"/>
          <w:kern w:val="0"/>
          <w:sz w:val="28"/>
          <w:szCs w:val="28"/>
          <w:highlight w:val="yellow"/>
          <w:lang w:val="en-US" w:eastAsia="zh-CN"/>
        </w:rPr>
        <w:t>2.荣获第一名且符合“沈阳市五好学生”基本条件的选手，由市教育局授予“沈阳市五好学生”称号;获第一名且符合“沈阳市优秀共青团员”基本条件的学籍在沈阳市的学生选手，由团市委授予“沈阳市优秀共青团员”称号;荣获一等奖前三名且符合“职业技能等级证书”基本条件的选手，由教育部门、人社部门商相应备案的社会培训评价组织颁发职业技能等级证书。</w:t>
      </w:r>
    </w:p>
    <w:p w14:paraId="4BD8BA5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3.指导教师奖。对获奖学生的指导教师颁发相应级别的指导教师证书。</w:t>
      </w:r>
    </w:p>
    <w:p w14:paraId="7CEEB39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十三、赛项预案</w:t>
      </w:r>
    </w:p>
    <w:p w14:paraId="6E94722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default" w:ascii="楷体" w:hAnsi="楷体" w:eastAsia="楷体" w:cs="楷体"/>
          <w:b/>
          <w:bCs w:val="0"/>
          <w:color w:val="000000"/>
          <w:kern w:val="0"/>
          <w:sz w:val="28"/>
          <w:szCs w:val="28"/>
          <w:lang w:val="en-US" w:eastAsia="zh-CN"/>
        </w:rPr>
        <w:t>（一）非正常停电</w:t>
      </w:r>
    </w:p>
    <w:p w14:paraId="1EC1697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竞赛现场如出现突然非正常停电的</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按下述步骤进行处理：</w:t>
      </w:r>
    </w:p>
    <w:p w14:paraId="5DFD66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1.裁判员提示参赛选手</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工作人员提示观摩人员要保持镇静</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防止踩踏事件发生。</w:t>
      </w:r>
    </w:p>
    <w:p w14:paraId="7CDA8AC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2.裁判员提示参赛选手在电源保护装置的有效时间内备份计算机操作数据</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并等候处理决定。</w:t>
      </w:r>
    </w:p>
    <w:p w14:paraId="0B8813D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3.必要时</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保卫人员开启安全通道</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有序疏散现场人员离场。</w:t>
      </w:r>
    </w:p>
    <w:p w14:paraId="4EA02F0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4.裁判长视情况决定启动备用电源或延迟竞赛。</w:t>
      </w:r>
    </w:p>
    <w:p w14:paraId="780488C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5.现场电力恢复后</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由裁判组集体商定根据竞赛内容特点的不同可采用继续比赛、顺延比赛时间、重赛等处理办法。</w:t>
      </w:r>
    </w:p>
    <w:p w14:paraId="2994D17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default" w:ascii="楷体" w:hAnsi="楷体" w:eastAsia="楷体" w:cs="楷体"/>
          <w:b/>
          <w:bCs w:val="0"/>
          <w:color w:val="000000"/>
          <w:kern w:val="0"/>
          <w:sz w:val="28"/>
          <w:szCs w:val="28"/>
          <w:lang w:val="en-US" w:eastAsia="zh-CN"/>
        </w:rPr>
      </w:pPr>
      <w:r>
        <w:rPr>
          <w:rFonts w:hint="default" w:ascii="楷体" w:hAnsi="楷体" w:eastAsia="楷体" w:cs="楷体"/>
          <w:b/>
          <w:bCs w:val="0"/>
          <w:color w:val="000000"/>
          <w:kern w:val="0"/>
          <w:sz w:val="28"/>
          <w:szCs w:val="28"/>
          <w:lang w:val="en-US" w:eastAsia="zh-CN"/>
        </w:rPr>
        <w:t>（二）竞赛设备故障</w:t>
      </w:r>
    </w:p>
    <w:p w14:paraId="48B0E34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竞赛过程中</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如遇竞赛设备故障</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按下列程序报告并处理：</w:t>
      </w:r>
    </w:p>
    <w:p w14:paraId="532178E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bookmarkStart w:id="0" w:name="OLE_LINK1"/>
      <w:bookmarkEnd w:id="0"/>
      <w:r>
        <w:rPr>
          <w:rFonts w:hint="default" w:ascii="仿宋" w:hAnsi="仿宋" w:eastAsia="仿宋" w:cs="仿宋"/>
          <w:bCs/>
          <w:color w:val="000000"/>
          <w:kern w:val="0"/>
          <w:sz w:val="28"/>
          <w:szCs w:val="28"/>
          <w:lang w:val="en-US" w:eastAsia="zh-CN"/>
        </w:rPr>
        <w:t>1.参赛选手</w:t>
      </w:r>
      <w:r>
        <w:rPr>
          <w:rFonts w:hint="eastAsia" w:ascii="仿宋" w:hAnsi="仿宋" w:eastAsia="仿宋" w:cs="仿宋"/>
          <w:bCs/>
          <w:color w:val="000000"/>
          <w:kern w:val="0"/>
          <w:sz w:val="28"/>
          <w:szCs w:val="28"/>
          <w:lang w:val="en-US" w:eastAsia="zh-CN"/>
        </w:rPr>
        <w:t>举牌</w:t>
      </w:r>
      <w:r>
        <w:rPr>
          <w:rFonts w:hint="default" w:ascii="仿宋" w:hAnsi="仿宋" w:eastAsia="仿宋" w:cs="仿宋"/>
          <w:bCs/>
          <w:color w:val="000000"/>
          <w:kern w:val="0"/>
          <w:sz w:val="28"/>
          <w:szCs w:val="28"/>
          <w:lang w:val="en-US" w:eastAsia="zh-CN"/>
        </w:rPr>
        <w:t>示意</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说明故障现象</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裁判员、技术员等应及时予以解决。</w:t>
      </w:r>
    </w:p>
    <w:p w14:paraId="3E664D1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2.确因设备无法继续操作</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经由裁判员提出申请</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报裁判长批准后</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予以启用备用设备。</w:t>
      </w:r>
    </w:p>
    <w:p w14:paraId="34AC767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w:t>
      </w:r>
      <w:r>
        <w:rPr>
          <w:rFonts w:hint="default" w:ascii="仿宋" w:hAnsi="仿宋" w:eastAsia="仿宋" w:cs="仿宋"/>
          <w:bCs/>
          <w:color w:val="000000"/>
          <w:kern w:val="0"/>
          <w:sz w:val="28"/>
          <w:szCs w:val="28"/>
          <w:lang w:val="en-US" w:eastAsia="zh-CN"/>
        </w:rPr>
        <w:t>.</w:t>
      </w:r>
      <w:r>
        <w:rPr>
          <w:rFonts w:hint="eastAsia" w:ascii="仿宋" w:hAnsi="仿宋" w:eastAsia="仿宋" w:cs="仿宋"/>
          <w:bCs/>
          <w:color w:val="000000"/>
          <w:kern w:val="0"/>
          <w:sz w:val="28"/>
          <w:szCs w:val="28"/>
          <w:lang w:val="en-US" w:eastAsia="zh-CN"/>
        </w:rPr>
        <w:t>设备</w:t>
      </w:r>
      <w:r>
        <w:rPr>
          <w:rFonts w:hint="default" w:ascii="仿宋" w:hAnsi="仿宋" w:eastAsia="仿宋" w:cs="仿宋"/>
          <w:bCs/>
          <w:color w:val="000000"/>
          <w:kern w:val="0"/>
          <w:sz w:val="28"/>
          <w:szCs w:val="28"/>
          <w:lang w:val="en-US" w:eastAsia="zh-CN"/>
        </w:rPr>
        <w:t>恢复正常后</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由裁判组商定根据竞赛内容特点的不同可采用继续比赛、顺延比赛时间、重赛等处理办法。</w:t>
      </w:r>
    </w:p>
    <w:p w14:paraId="331E630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default" w:ascii="楷体" w:hAnsi="楷体" w:eastAsia="楷体" w:cs="楷体"/>
          <w:b/>
          <w:bCs w:val="0"/>
          <w:color w:val="000000"/>
          <w:kern w:val="0"/>
          <w:sz w:val="28"/>
          <w:szCs w:val="28"/>
          <w:lang w:val="en-US" w:eastAsia="zh-CN"/>
        </w:rPr>
      </w:pPr>
      <w:r>
        <w:rPr>
          <w:rFonts w:hint="default" w:ascii="楷体" w:hAnsi="楷体" w:eastAsia="楷体" w:cs="楷体"/>
          <w:b/>
          <w:bCs w:val="0"/>
          <w:color w:val="000000"/>
          <w:kern w:val="0"/>
          <w:sz w:val="28"/>
          <w:szCs w:val="28"/>
          <w:lang w:val="en-US" w:eastAsia="zh-CN"/>
        </w:rPr>
        <w:t>（三）参赛选手发生意外受伤或急病等情况</w:t>
      </w:r>
    </w:p>
    <w:p w14:paraId="22DFF05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应按下列步骤进行处理：</w:t>
      </w:r>
    </w:p>
    <w:p w14:paraId="7A1E3CB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1.参赛选手</w:t>
      </w:r>
      <w:r>
        <w:rPr>
          <w:rFonts w:hint="eastAsia" w:ascii="仿宋" w:hAnsi="仿宋" w:eastAsia="仿宋" w:cs="仿宋"/>
          <w:bCs/>
          <w:color w:val="000000"/>
          <w:kern w:val="0"/>
          <w:sz w:val="28"/>
          <w:szCs w:val="28"/>
          <w:lang w:val="en-US" w:eastAsia="zh-CN"/>
        </w:rPr>
        <w:t>举牌</w:t>
      </w:r>
      <w:r>
        <w:rPr>
          <w:rFonts w:hint="default" w:ascii="仿宋" w:hAnsi="仿宋" w:eastAsia="仿宋" w:cs="仿宋"/>
          <w:bCs/>
          <w:color w:val="000000"/>
          <w:kern w:val="0"/>
          <w:sz w:val="28"/>
          <w:szCs w:val="28"/>
          <w:lang w:val="en-US" w:eastAsia="zh-CN"/>
        </w:rPr>
        <w:t>示意。</w:t>
      </w:r>
    </w:p>
    <w:p w14:paraId="2F67C2B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default" w:ascii="仿宋" w:hAnsi="仿宋" w:eastAsia="仿宋" w:cs="仿宋"/>
          <w:bCs/>
          <w:color w:val="000000"/>
          <w:kern w:val="0"/>
          <w:sz w:val="28"/>
          <w:szCs w:val="28"/>
          <w:lang w:val="en-US" w:eastAsia="zh-CN"/>
        </w:rPr>
        <w:t>2.现场医务人员迅速到达现场</w:t>
      </w:r>
      <w:r>
        <w:rPr>
          <w:rFonts w:hint="eastAsia" w:ascii="仿宋" w:hAnsi="仿宋" w:eastAsia="仿宋" w:cs="仿宋"/>
          <w:bCs/>
          <w:color w:val="000000"/>
          <w:kern w:val="0"/>
          <w:sz w:val="28"/>
          <w:szCs w:val="28"/>
          <w:lang w:val="en-US" w:eastAsia="zh-CN"/>
        </w:rPr>
        <w:t>，</w:t>
      </w:r>
      <w:r>
        <w:rPr>
          <w:rFonts w:hint="default" w:ascii="仿宋" w:hAnsi="仿宋" w:eastAsia="仿宋" w:cs="仿宋"/>
          <w:bCs/>
          <w:color w:val="000000"/>
          <w:kern w:val="0"/>
          <w:sz w:val="28"/>
          <w:szCs w:val="28"/>
          <w:lang w:val="en-US" w:eastAsia="zh-CN"/>
        </w:rPr>
        <w:t>救治或急送最近医院进行救治。</w:t>
      </w:r>
    </w:p>
    <w:p w14:paraId="4F58C32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十四、竞赛须知</w:t>
      </w:r>
    </w:p>
    <w:p w14:paraId="513B5D6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（一）参赛队须知</w:t>
      </w:r>
    </w:p>
    <w:p w14:paraId="4032998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1.每个参赛队安排 1 名领队、不超过 2 名指导老师</w:t>
      </w:r>
      <w:r>
        <w:rPr>
          <w:rFonts w:hint="default" w:ascii="仿宋" w:hAnsi="仿宋" w:eastAsia="仿宋" w:cs="仿宋"/>
          <w:bCs/>
          <w:color w:val="000000"/>
          <w:kern w:val="0"/>
          <w:sz w:val="28"/>
          <w:szCs w:val="28"/>
          <w:lang w:val="en-US" w:eastAsia="zh-CN"/>
        </w:rPr>
        <w:t>,</w:t>
      </w:r>
      <w:r>
        <w:rPr>
          <w:rFonts w:hint="eastAsia" w:ascii="仿宋" w:hAnsi="仿宋" w:eastAsia="仿宋" w:cs="仿宋"/>
          <w:bCs/>
          <w:color w:val="000000"/>
          <w:kern w:val="0"/>
          <w:sz w:val="28"/>
          <w:szCs w:val="28"/>
          <w:lang w:val="en-US" w:eastAsia="zh-CN"/>
        </w:rPr>
        <w:t>负责本校参赛队的参赛组织和与竞赛组织机构的联络。</w:t>
      </w:r>
    </w:p>
    <w:p w14:paraId="6E23FE2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2.参赛队按照竞赛赛程安排，凭赛项组委会颁发的参赛证、有效身份证件比赛及相关活动，参赛选手注意仪容仪表。</w:t>
      </w:r>
    </w:p>
    <w:p w14:paraId="5053449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3.不得携带任何具有存储功能的设备，否则取消参赛资格。</w:t>
      </w:r>
    </w:p>
    <w:p w14:paraId="46D1027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4.各参赛队只允许用承办学校提供的 2 台电脑进行比赛。</w:t>
      </w:r>
    </w:p>
    <w:p w14:paraId="0282790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5.各学校组织参赛队时，须安排为参赛选手购买大赛期间的人身意外伤害保险。</w:t>
      </w:r>
    </w:p>
    <w:p w14:paraId="177D06D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highlight w:val="yellow"/>
          <w:lang w:val="en-US" w:eastAsia="zh-CN"/>
        </w:rPr>
      </w:pPr>
      <w:r>
        <w:rPr>
          <w:rFonts w:hint="eastAsia" w:ascii="仿宋" w:hAnsi="仿宋" w:eastAsia="仿宋" w:cs="仿宋"/>
          <w:bCs/>
          <w:color w:val="000000"/>
          <w:kern w:val="0"/>
          <w:sz w:val="28"/>
          <w:szCs w:val="28"/>
          <w:highlight w:val="yellow"/>
          <w:lang w:val="en-US" w:eastAsia="zh-CN"/>
        </w:rPr>
        <w:t>6.竞赛过程中，参赛选手需身着纯色上衣与黑色下装，不允许佩戴任何发饰，不得透露所在学校、城市、教师和选手信息，否则取消成绩。</w:t>
      </w:r>
    </w:p>
    <w:p w14:paraId="4B689A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（二）指导教师须知</w:t>
      </w:r>
    </w:p>
    <w:p w14:paraId="49F16C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1.指导教师应该根据专业教学计划和赛项规程合理制定训练方案，认真指导选手训练，培养选手的综合职业能力和良好的职业素养，克服功利化思想。</w:t>
      </w:r>
    </w:p>
    <w:p w14:paraId="324B0B2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2.指导教师应该根据赛项规程要求做好参赛选手保险办理工作，并积极做好选手的安全教育。</w:t>
      </w:r>
    </w:p>
    <w:p w14:paraId="0870D60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指导教师应自觉遵守大赛各项制度，尊重专家、裁判、监督仲裁及工作人员。要引导和教育参赛选手对于认为有影响个人比赛成绩的裁判行为或设备故障，按照赛项指南规定和大赛制度与裁判、工作人员进行充分沟通或赛后提出申诉，不得在网络、微信群等各种媒体发表、传播有待核实信息和过激言论。对比赛过程中的争议问题，要按大赛制度规定程序处理，不得采取过激行为。</w:t>
      </w:r>
    </w:p>
    <w:p w14:paraId="102168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（三）参赛选手须知</w:t>
      </w:r>
    </w:p>
    <w:p w14:paraId="2B57AA1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1.参赛选手应当文明参赛，服从裁判统一指挥，尊重赛场工作人员，自觉维护赛场秩序。如参赛选手因对裁判不服从而停止比赛，则以弃权处理。</w:t>
      </w:r>
    </w:p>
    <w:p w14:paraId="035260F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2.参赛选手须严格遵守竞赛规程规定的安全操作流程，防止发生安全事故。</w:t>
      </w:r>
    </w:p>
    <w:p w14:paraId="7E2A9C3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3.参赛选手应该爱护赛场使用的设备、仪器等，不得人为损坏比赛所使用的仪器设备。</w:t>
      </w:r>
    </w:p>
    <w:p w14:paraId="645B747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4.参赛选手须严格按照规定时间进入检录抽签区和比赛场地，不允许携带任何竞赛规程禁止使用的电子产品及通讯工具以及其它与竞赛有关的资料和书籍，不得以任何方式泄露参赛院校、选手姓名等涉及竞赛场上应该保密的信息。</w:t>
      </w:r>
    </w:p>
    <w:p w14:paraId="112B72A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5.参赛选手对于认为有影响比赛成绩的裁判行为或设备故障等，应向指导老师反映，由指导老师按大赛制度规定进行申诉。参赛选手不得利用比赛相关的微信群、QQ群发表虚假信息和不当言论。</w:t>
      </w:r>
    </w:p>
    <w:p w14:paraId="19E0497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（四）工作人员须知</w:t>
      </w:r>
    </w:p>
    <w:p w14:paraId="2903835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1.工作人员必须佩戴由大赛组委会签发的相应证件，着装整齐。</w:t>
      </w:r>
    </w:p>
    <w:p w14:paraId="36158CF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2.工作人员不得影响参赛选手比赛，严禁出现影响比赛公平的行为。</w:t>
      </w:r>
    </w:p>
    <w:p w14:paraId="70A3BA7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3.服从领导，听从指挥，以高度负责的精神、严肃认真的态度做好各项工作。</w:t>
      </w:r>
    </w:p>
    <w:p w14:paraId="086CE8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4.熟悉比赛规程，认真遵守各项比赛规则和工作要求。</w:t>
      </w:r>
    </w:p>
    <w:p w14:paraId="1B9B9F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5.坚守岗位，如有急事需要离开岗位时，应经领导同意，并做好工作衔接。</w:t>
      </w:r>
    </w:p>
    <w:p w14:paraId="2A4876C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6.严格遵守比赛纪律，如发现其他人员有违反比赛纪律的行为，应予以制止。情节严重的，应向竞赛组委会反映。</w:t>
      </w:r>
    </w:p>
    <w:p w14:paraId="298B89E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7.发扬无私奉献和团结协作的精神，提供热情、优质服务。</w:t>
      </w:r>
    </w:p>
    <w:p w14:paraId="16EF540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十五、申诉与仲裁</w:t>
      </w:r>
    </w:p>
    <w:p w14:paraId="364C322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default"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（一）申诉</w:t>
      </w:r>
    </w:p>
    <w:p w14:paraId="003C14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1.参赛队对不符合竞赛规定的设备、工具、软件，有失公正的评判，以及对工作人员的违规行为等，均可提出申诉。</w:t>
      </w:r>
    </w:p>
    <w:p w14:paraId="46E3743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2.申诉应在竞赛结束后 2 小时内提出，超过时效将不予受理。申诉时，应按照规定的程序由参赛队领队向仲裁组递交书面申诉报告。报告应对申诉事件的现象、发生的时间、涉及到的人员、申诉依据与理由等进行充分、实事求是的叙述。事实依据不充分、仅凭主观臆断的申诉将不予受理。申诉报告须有申诉的参赛选手、领队签名。</w:t>
      </w:r>
    </w:p>
    <w:p w14:paraId="5BE1047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default"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3.仲裁组收到申诉报告后，应根据申诉事由组织裁判团队进行审查，2小时内书面通知申诉方，告知申诉处理结果。</w:t>
      </w:r>
    </w:p>
    <w:p w14:paraId="0D97851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4.申诉人不得无故拒不接受处理结果，不允许采取过激行为刁难、攻击工作人员，否则视为放弃申诉。</w:t>
      </w:r>
    </w:p>
    <w:p w14:paraId="2C331B4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（二）仲裁</w:t>
      </w:r>
    </w:p>
    <w:p w14:paraId="57B77DE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1.大赛仲裁组负责受理大赛中出现的申诉复议并进行仲裁，以保证竞赛顺利进行和竞赛结果公平、公正。</w:t>
      </w:r>
    </w:p>
    <w:p w14:paraId="48BB63E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2.仲裁组的裁决为最终裁决，参赛队不得因申诉或对仲裁处理意见不服而停止比赛或滋事。</w:t>
      </w:r>
    </w:p>
    <w:p w14:paraId="32D6488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pPr>
      <w:r>
        <w:rPr>
          <w:rFonts w:hint="eastAsia" w:ascii="黑体" w:hAnsi="黑体" w:eastAsia="黑体" w:cs="黑体"/>
          <w:spacing w:val="16"/>
          <w:sz w:val="30"/>
          <w:szCs w:val="30"/>
          <w:lang w:val="en-US" w:eastAsia="zh-CN"/>
        </w:rPr>
        <w:t>十六、竞赛观摩</w:t>
      </w:r>
    </w:p>
    <w:p w14:paraId="6D8CA869">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560" w:firstLineChars="200"/>
        <w:rPr>
          <w:highlight w:val="yellow"/>
        </w:rPr>
      </w:pPr>
      <w:r>
        <w:rPr>
          <w:rFonts w:hint="eastAsia" w:ascii="仿宋" w:hAnsi="仿宋" w:eastAsia="仿宋" w:cs="仿宋"/>
          <w:bCs/>
          <w:color w:val="000000"/>
          <w:kern w:val="0"/>
          <w:sz w:val="28"/>
          <w:szCs w:val="28"/>
          <w:highlight w:val="yellow"/>
          <w:lang w:val="en-US" w:eastAsia="zh-CN"/>
        </w:rPr>
        <w:t>大赛不安排统一观摩。</w:t>
      </w:r>
    </w:p>
    <w:p w14:paraId="3B9CA10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pPr>
      <w:r>
        <w:rPr>
          <w:rFonts w:hint="eastAsia" w:ascii="黑体" w:hAnsi="黑体" w:eastAsia="黑体" w:cs="黑体"/>
          <w:spacing w:val="16"/>
          <w:sz w:val="30"/>
          <w:szCs w:val="30"/>
          <w:lang w:val="en-US" w:eastAsia="zh-CN"/>
        </w:rPr>
        <w:t>十七、竞赛直播</w:t>
      </w:r>
    </w:p>
    <w:p w14:paraId="713FE2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highlight w:val="yellow"/>
          <w:lang w:val="en-US" w:eastAsia="zh-CN"/>
        </w:rPr>
      </w:pPr>
      <w:r>
        <w:rPr>
          <w:rFonts w:hint="eastAsia" w:ascii="仿宋" w:hAnsi="仿宋" w:eastAsia="仿宋" w:cs="仿宋"/>
          <w:bCs/>
          <w:color w:val="000000"/>
          <w:kern w:val="0"/>
          <w:sz w:val="28"/>
          <w:szCs w:val="28"/>
          <w:highlight w:val="yellow"/>
          <w:lang w:val="en-US" w:eastAsia="zh-CN"/>
        </w:rPr>
        <w:t>大赛不安排统一直播。</w:t>
      </w:r>
    </w:p>
    <w:p w14:paraId="2733CBB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pPr>
      <w:r>
        <w:rPr>
          <w:rFonts w:hint="eastAsia" w:ascii="黑体" w:hAnsi="黑体" w:eastAsia="黑体" w:cs="黑体"/>
          <w:spacing w:val="16"/>
          <w:sz w:val="30"/>
          <w:szCs w:val="30"/>
          <w:lang w:val="en-US" w:eastAsia="zh-CN"/>
        </w:rPr>
        <w:t>十八、资源转化</w:t>
      </w:r>
    </w:p>
    <w:p w14:paraId="57DA811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（一）实施主体</w:t>
      </w:r>
    </w:p>
    <w:p w14:paraId="7E609D2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赛项资源转化工作由大赛办与赛项承办校负责，根据赛项技能考核特点开展并推进资源转化工作。</w:t>
      </w:r>
    </w:p>
    <w:p w14:paraId="60E3EF9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（二）基本要求</w:t>
      </w:r>
    </w:p>
    <w:p w14:paraId="70C5E6F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赛项资源转化成果应符合行业标准，契合课程标准，突出技能特色，展现竞赛优势，形成满足职业教育教学需求、体现先进</w:t>
      </w:r>
    </w:p>
    <w:p w14:paraId="216FC1F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pPr>
      <w:r>
        <w:rPr>
          <w:rFonts w:hint="eastAsia" w:ascii="仿宋" w:hAnsi="仿宋" w:eastAsia="仿宋" w:cs="仿宋"/>
          <w:bCs/>
          <w:color w:val="000000"/>
          <w:kern w:val="0"/>
          <w:sz w:val="28"/>
          <w:szCs w:val="28"/>
          <w:lang w:val="en-US" w:eastAsia="zh-CN"/>
        </w:rPr>
        <w:t>教学模式、反映职业教育先进水平的共享性资源成果。</w:t>
      </w:r>
    </w:p>
    <w:p w14:paraId="64DD8A3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楷体" w:hAnsi="楷体" w:eastAsia="楷体" w:cs="楷体"/>
          <w:b/>
          <w:bCs w:val="0"/>
          <w:color w:val="000000"/>
          <w:kern w:val="0"/>
          <w:sz w:val="28"/>
          <w:szCs w:val="28"/>
          <w:lang w:val="en-US" w:eastAsia="zh-CN"/>
        </w:rPr>
      </w:pPr>
      <w:r>
        <w:rPr>
          <w:rFonts w:hint="eastAsia" w:ascii="楷体" w:hAnsi="楷体" w:eastAsia="楷体" w:cs="楷体"/>
          <w:b/>
          <w:bCs w:val="0"/>
          <w:color w:val="000000"/>
          <w:kern w:val="0"/>
          <w:sz w:val="28"/>
          <w:szCs w:val="28"/>
          <w:lang w:val="en-US" w:eastAsia="zh-CN"/>
        </w:rPr>
        <w:t>（三）成果与形式</w:t>
      </w:r>
    </w:p>
    <w:p w14:paraId="4AA58A1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资源转化成果应包含基本资源和拓展资源，充分展现本赛项的比赛过程、技能要素、赛项特色和专家建议等。</w:t>
      </w:r>
    </w:p>
    <w:p w14:paraId="5B1E9A3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1.基本资源</w:t>
      </w:r>
    </w:p>
    <w:p w14:paraId="6BC19E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基本资源按照风采展示、技能概要、教学资源三大模块设置：</w:t>
      </w:r>
    </w:p>
    <w:p w14:paraId="428B100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（1）风采展示；赛后即时制作时长 5 分钟左右的赛项宣传，以及时长5分钟左右的获奖代表队（选手）的风采展示片供专业媒体进行宣传播放。</w:t>
      </w:r>
    </w:p>
    <w:p w14:paraId="1A9AE19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（2）技能概要；包括技能介绍、训练大纲、技能要点、评价指标等。</w:t>
      </w:r>
    </w:p>
    <w:p w14:paraId="4629F44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3）教学资源；包括教学方案、训练指导、作业/任务、实训/实习资源等。教学资源模块可单独列出，也可融入各教学单元。教学单元按任务模块或技能模块组织设置，包括演示文稿、图片、操作流程演示视频、动画及相关微课程、微资源等。</w:t>
      </w:r>
    </w:p>
    <w:p w14:paraId="6F50E43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2.拓展资源</w:t>
      </w:r>
    </w:p>
    <w:p w14:paraId="512916B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拓展资源是指反映技能特色、可应用于各教学与训练环节、支持技能教学和学习过程的较为成熟的多样性辅助资源。例如：评点视频、访谈视频、试题库、案例库、素材资源库等。</w:t>
      </w:r>
    </w:p>
    <w:p w14:paraId="06D5EE2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sectPr>
          <w:footerReference r:id="rId5" w:type="default"/>
          <w:pgSz w:w="11906" w:h="16838"/>
          <w:pgMar w:top="1417" w:right="1655" w:bottom="1145" w:left="1672" w:header="0" w:footer="975" w:gutter="0"/>
          <w:pgBorders>
            <w:top w:val="none" w:sz="0" w:space="0"/>
            <w:left w:val="none" w:sz="0" w:space="0"/>
            <w:bottom w:val="none" w:sz="0" w:space="0"/>
            <w:right w:val="none" w:sz="0" w:space="0"/>
          </w:pgBorders>
          <w:cols w:space="0" w:num="1"/>
          <w:rtlGutter w:val="0"/>
          <w:docGrid w:linePitch="312" w:charSpace="0"/>
        </w:sectPr>
      </w:pPr>
    </w:p>
    <w:p w14:paraId="67C5F60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rPr>
          <w:rFonts w:hint="eastAsia" w:ascii="黑体" w:hAnsi="黑体" w:eastAsia="黑体" w:cs="黑体"/>
          <w:b w:val="0"/>
          <w:bCs w:val="0"/>
          <w:spacing w:val="16"/>
          <w:sz w:val="30"/>
          <w:szCs w:val="30"/>
        </w:rPr>
      </w:pPr>
      <w:r>
        <w:rPr>
          <w:rFonts w:hint="eastAsia" w:ascii="黑体" w:hAnsi="黑体" w:eastAsia="黑体" w:cs="黑体"/>
          <w:b w:val="0"/>
          <w:bCs w:val="0"/>
          <w:spacing w:val="16"/>
          <w:sz w:val="30"/>
          <w:szCs w:val="30"/>
        </w:rPr>
        <w:t>附件:直播负面清单</w:t>
      </w:r>
    </w:p>
    <w:p w14:paraId="38916FA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直播实践中应坚持社会主义核心价值观，遵守社会公德，遵守宪法所确定的基本原则及国家法律法规。不得夸大宣传、虚假宣传，不得含有以下言行:</w:t>
      </w:r>
    </w:p>
    <w:p w14:paraId="51B4601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一、损害国家主权统一和领土完整的言行。</w:t>
      </w:r>
    </w:p>
    <w:p w14:paraId="5AF63D7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二、危害国家安全、损害国家荣誉和利益的言行。</w:t>
      </w:r>
    </w:p>
    <w:p w14:paraId="2EF9BC0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三、含有民族种族宗教性别歧视的言行。</w:t>
      </w:r>
    </w:p>
    <w:p w14:paraId="29FA943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四、散布谣言、扰乱社会秩序、破坏社会稳定的言行。</w:t>
      </w:r>
    </w:p>
    <w:p w14:paraId="62C6C0E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五、淫秽、色情、赌博、迷信、恐怖、暴力或者教唆犯罪言行。</w:t>
      </w:r>
    </w:p>
    <w:p w14:paraId="1131E6F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六、侮辱、诽谤、恐吓涉及他人隐私等侵害他人合法权益言行。</w:t>
      </w:r>
    </w:p>
    <w:p w14:paraId="08C081B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七、危害未成年人身心健康的言行。</w:t>
      </w:r>
    </w:p>
    <w:p w14:paraId="4671B25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八、其他危害社会公德或民族优秀文化传统的。</w:t>
      </w:r>
    </w:p>
    <w:p w14:paraId="6072F10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九、造假篡改交易数据和用户评价。</w:t>
      </w:r>
    </w:p>
    <w:p w14:paraId="3B702D5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十、不得进行虚假或引导误解的商业宣传，欺骗误导消费者。</w:t>
      </w:r>
    </w:p>
    <w:p w14:paraId="601125F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十一、违反法律规定从事扰乱市场竞争秩序，损害其他经营者或消费者的合法权益的言行。</w:t>
      </w:r>
    </w:p>
    <w:p w14:paraId="063E37B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十二、带动用户低俗氛围，引导场内低俗互动言行。</w:t>
      </w:r>
    </w:p>
    <w:p w14:paraId="297BA69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十三、其他违反社会主义核心价值观和社会公德的行为。</w:t>
      </w:r>
    </w:p>
    <w:p w14:paraId="61FE5F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微软雅黑" w:hAnsi="微软雅黑" w:eastAsia="微软雅黑" w:cs="微软雅黑"/>
          <w:b w:val="0"/>
          <w:bCs w:val="0"/>
          <w:sz w:val="28"/>
          <w:szCs w:val="28"/>
          <w:lang w:val="en-US" w:eastAsia="zh-CN"/>
        </w:rPr>
      </w:pPr>
    </w:p>
    <w:p w14:paraId="5A81584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微软雅黑" w:hAnsi="微软雅黑" w:eastAsia="微软雅黑" w:cs="微软雅黑"/>
          <w:b w:val="0"/>
          <w:bCs w:val="0"/>
          <w:sz w:val="28"/>
          <w:szCs w:val="28"/>
          <w:lang w:val="en-US" w:eastAsia="zh-CN"/>
        </w:rPr>
      </w:pPr>
    </w:p>
    <w:p w14:paraId="65BEAF5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微软雅黑" w:hAnsi="微软雅黑" w:eastAsia="微软雅黑" w:cs="微软雅黑"/>
          <w:b w:val="0"/>
          <w:bCs w:val="0"/>
          <w:sz w:val="28"/>
          <w:szCs w:val="28"/>
          <w:lang w:val="en-US" w:eastAsia="zh-CN"/>
        </w:rPr>
      </w:pPr>
    </w:p>
    <w:p w14:paraId="1068117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rPr>
          <w:rFonts w:hint="eastAsia" w:ascii="黑体" w:hAnsi="黑体" w:eastAsia="黑体" w:cs="黑体"/>
          <w:b w:val="0"/>
          <w:bCs w:val="0"/>
          <w:spacing w:val="16"/>
          <w:sz w:val="30"/>
          <w:szCs w:val="30"/>
          <w:lang w:val="en-US" w:eastAsia="zh-CN"/>
        </w:rPr>
      </w:pPr>
    </w:p>
    <w:p w14:paraId="57CB5FF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rPr>
          <w:rFonts w:hint="eastAsia" w:ascii="黑体" w:hAnsi="黑体" w:eastAsia="黑体" w:cs="黑体"/>
          <w:b w:val="0"/>
          <w:bCs w:val="0"/>
          <w:spacing w:val="16"/>
          <w:sz w:val="30"/>
          <w:szCs w:val="30"/>
          <w:lang w:val="en-US" w:eastAsia="zh-CN"/>
        </w:rPr>
      </w:pPr>
    </w:p>
    <w:p w14:paraId="0ED017B0">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rPr>
          <w:rFonts w:hint="eastAsia" w:ascii="黑体" w:hAnsi="黑体" w:eastAsia="黑体" w:cs="黑体"/>
          <w:b w:val="0"/>
          <w:bCs w:val="0"/>
          <w:spacing w:val="16"/>
          <w:sz w:val="30"/>
          <w:szCs w:val="30"/>
          <w:lang w:val="en-US" w:eastAsia="zh-CN"/>
        </w:rPr>
      </w:pPr>
    </w:p>
    <w:p w14:paraId="71161F5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rPr>
          <w:rFonts w:hint="eastAsia" w:ascii="黑体" w:hAnsi="黑体" w:eastAsia="黑体" w:cs="黑体"/>
          <w:b w:val="0"/>
          <w:bCs w:val="0"/>
          <w:spacing w:val="16"/>
          <w:sz w:val="30"/>
          <w:szCs w:val="30"/>
          <w:lang w:val="en-US" w:eastAsia="zh-CN"/>
        </w:rPr>
      </w:pPr>
    </w:p>
    <w:p w14:paraId="532BF83E">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rPr>
          <w:rFonts w:hint="eastAsia" w:ascii="黑体" w:hAnsi="黑体" w:eastAsia="黑体" w:cs="黑体"/>
          <w:b w:val="0"/>
          <w:bCs w:val="0"/>
          <w:spacing w:val="16"/>
          <w:sz w:val="30"/>
          <w:szCs w:val="30"/>
          <w:lang w:val="en-US" w:eastAsia="zh-CN"/>
        </w:rPr>
      </w:pPr>
      <w:r>
        <w:rPr>
          <w:rFonts w:hint="eastAsia" w:ascii="黑体" w:hAnsi="黑体" w:eastAsia="黑体" w:cs="黑体"/>
          <w:b w:val="0"/>
          <w:bCs w:val="0"/>
          <w:spacing w:val="16"/>
          <w:sz w:val="30"/>
          <w:szCs w:val="30"/>
          <w:lang w:val="en-US" w:eastAsia="zh-CN"/>
        </w:rPr>
        <w:t>附件2：</w:t>
      </w:r>
    </w:p>
    <w:p w14:paraId="0610E6F7">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rPr>
          <w:rFonts w:hint="eastAsia" w:ascii="仿宋" w:hAnsi="仿宋" w:eastAsia="仿宋" w:cs="仿宋"/>
        </w:rPr>
      </w:pPr>
    </w:p>
    <w:p w14:paraId="1BD90A2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rPr>
          <w:rFonts w:hint="eastAsia" w:ascii="仿宋" w:hAnsi="仿宋" w:eastAsia="仿宋" w:cs="仿宋"/>
        </w:rPr>
      </w:pPr>
    </w:p>
    <w:p w14:paraId="576360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rPr>
          <w:rFonts w:hint="eastAsia" w:ascii="仿宋" w:hAnsi="仿宋" w:eastAsia="仿宋" w:cs="仿宋"/>
        </w:rPr>
      </w:pPr>
    </w:p>
    <w:p w14:paraId="08724569">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0" w:firstLineChars="0"/>
        <w:jc w:val="center"/>
        <w:outlineLvl w:val="0"/>
        <w:rPr>
          <w:rFonts w:ascii="微软雅黑" w:hAnsi="微软雅黑" w:eastAsia="微软雅黑" w:cs="微软雅黑"/>
          <w:sz w:val="46"/>
          <w:szCs w:val="46"/>
        </w:rPr>
      </w:pPr>
      <w:r>
        <w:rPr>
          <w:rFonts w:ascii="微软雅黑" w:hAnsi="微软雅黑" w:eastAsia="微软雅黑" w:cs="微软雅黑"/>
          <w:b/>
          <w:bCs/>
          <w:spacing w:val="26"/>
          <w:sz w:val="46"/>
          <w:szCs w:val="46"/>
        </w:rPr>
        <w:t>沈阳现代化都市圈职业院校技能大赛</w:t>
      </w:r>
    </w:p>
    <w:p w14:paraId="3D051277">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rPr>
          <w:rFonts w:hint="default" w:eastAsia="宋体"/>
          <w:lang w:val="en-US" w:eastAsia="zh-CN"/>
        </w:rPr>
      </w:pPr>
      <w:r>
        <w:rPr>
          <w:rFonts w:hint="eastAsia" w:ascii="微软雅黑" w:hAnsi="微软雅黑" w:eastAsia="微软雅黑" w:cs="微软雅黑"/>
          <w:b/>
          <w:bCs/>
          <w:spacing w:val="18"/>
          <w:sz w:val="46"/>
          <w:szCs w:val="46"/>
          <w:lang w:val="en-US" w:eastAsia="zh-CN"/>
        </w:rPr>
        <w:t>竞赛样题</w:t>
      </w:r>
    </w:p>
    <w:p w14:paraId="3B103B47">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30634CB7">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59E5112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2DDF7C2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4F57AAB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2DC11D7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7F5E9A7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04267D0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664E290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726FC00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10AC8375">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15EAFEB7">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pPr>
    </w:p>
    <w:p w14:paraId="44A0C86D">
      <w:pPr>
        <w:keepNext w:val="0"/>
        <w:keepLines w:val="0"/>
        <w:pageBreakBefore w:val="0"/>
        <w:wordWrap/>
        <w:overflowPunct/>
        <w:topLinePunct w:val="0"/>
        <w:bidi w:val="0"/>
        <w:spacing w:line="360" w:lineRule="auto"/>
        <w:ind w:left="0" w:leftChars="0" w:right="0" w:rightChars="0" w:firstLine="664" w:firstLineChars="200"/>
        <w:rPr>
          <w:rFonts w:hint="default" w:ascii="黑体" w:hAnsi="黑体" w:eastAsia="黑体" w:cs="黑体"/>
          <w:spacing w:val="16"/>
          <w:sz w:val="30"/>
          <w:szCs w:val="30"/>
          <w:u w:val="single"/>
          <w:lang w:val="en-US" w:eastAsia="zh-CN"/>
        </w:rPr>
      </w:pPr>
      <w:r>
        <w:rPr>
          <w:rFonts w:ascii="黑体" w:hAnsi="黑体" w:eastAsia="黑体" w:cs="黑体"/>
          <w:spacing w:val="16"/>
          <w:sz w:val="30"/>
          <w:szCs w:val="30"/>
        </w:rPr>
        <w:t>赛项名称：</w:t>
      </w:r>
      <w:r>
        <w:rPr>
          <w:rFonts w:hint="eastAsia" w:ascii="黑体" w:hAnsi="黑体" w:eastAsia="黑体" w:cs="黑体"/>
          <w:spacing w:val="16"/>
          <w:sz w:val="30"/>
          <w:szCs w:val="30"/>
          <w:u w:val="single"/>
          <w:lang w:val="en-US" w:eastAsia="zh-CN"/>
        </w:rPr>
        <w:t xml:space="preserve">        直播电商          </w:t>
      </w:r>
    </w:p>
    <w:p w14:paraId="0FE99083">
      <w:pPr>
        <w:keepNext w:val="0"/>
        <w:keepLines w:val="0"/>
        <w:pageBreakBefore w:val="0"/>
        <w:wordWrap/>
        <w:overflowPunct/>
        <w:topLinePunct w:val="0"/>
        <w:bidi w:val="0"/>
        <w:spacing w:line="360" w:lineRule="auto"/>
        <w:ind w:left="0" w:leftChars="0" w:right="0" w:rightChars="0" w:firstLine="664" w:firstLineChars="200"/>
        <w:rPr>
          <w:rFonts w:hint="default" w:ascii="黑体" w:hAnsi="黑体" w:eastAsia="黑体" w:cs="黑体"/>
          <w:spacing w:val="16"/>
          <w:sz w:val="30"/>
          <w:szCs w:val="30"/>
          <w:u w:val="single"/>
          <w:lang w:val="en-US" w:eastAsia="zh-CN"/>
        </w:rPr>
      </w:pPr>
      <w:r>
        <w:rPr>
          <w:rFonts w:ascii="黑体" w:hAnsi="黑体" w:eastAsia="黑体" w:cs="黑体"/>
          <w:spacing w:val="16"/>
          <w:sz w:val="30"/>
          <w:szCs w:val="30"/>
        </w:rPr>
        <w:t>英文名称</w:t>
      </w:r>
      <w:r>
        <w:rPr>
          <w:rFonts w:hint="eastAsia" w:ascii="黑体" w:hAnsi="黑体" w:eastAsia="黑体" w:cs="黑体"/>
          <w:spacing w:val="16"/>
          <w:sz w:val="30"/>
          <w:szCs w:val="30"/>
          <w:lang w:val="en-US" w:eastAsia="zh-CN"/>
        </w:rPr>
        <w:t>：</w:t>
      </w:r>
      <w:r>
        <w:rPr>
          <w:rFonts w:hint="eastAsia" w:ascii="黑体" w:hAnsi="黑体" w:eastAsia="黑体" w:cs="黑体"/>
          <w:spacing w:val="16"/>
          <w:sz w:val="30"/>
          <w:szCs w:val="30"/>
          <w:u w:val="single"/>
          <w:lang w:val="en-US" w:eastAsia="zh-CN"/>
        </w:rPr>
        <w:t xml:space="preserve">      </w:t>
      </w:r>
      <w:r>
        <w:rPr>
          <w:rFonts w:hint="eastAsia" w:ascii="黑体" w:hAnsi="黑体" w:eastAsia="黑体" w:cs="黑体"/>
          <w:spacing w:val="16"/>
          <w:sz w:val="30"/>
          <w:szCs w:val="30"/>
          <w:u w:val="single"/>
          <w:lang w:eastAsia="en-US"/>
        </w:rPr>
        <w:t>LiveE-commerce</w:t>
      </w:r>
      <w:r>
        <w:rPr>
          <w:rFonts w:hint="eastAsia" w:ascii="黑体" w:hAnsi="黑体" w:eastAsia="黑体" w:cs="黑体"/>
          <w:spacing w:val="16"/>
          <w:sz w:val="30"/>
          <w:szCs w:val="30"/>
          <w:u w:val="single"/>
          <w:lang w:val="en-US" w:eastAsia="zh-CN"/>
        </w:rPr>
        <w:t xml:space="preserve">      </w:t>
      </w:r>
    </w:p>
    <w:p w14:paraId="5F5A06DF">
      <w:pPr>
        <w:keepNext w:val="0"/>
        <w:keepLines w:val="0"/>
        <w:pageBreakBefore w:val="0"/>
        <w:wordWrap/>
        <w:overflowPunct/>
        <w:topLinePunct w:val="0"/>
        <w:bidi w:val="0"/>
        <w:spacing w:line="360" w:lineRule="auto"/>
        <w:ind w:left="0" w:leftChars="0" w:right="0" w:rightChars="0" w:firstLine="664" w:firstLineChars="200"/>
        <w:rPr>
          <w:rFonts w:hint="default" w:ascii="黑体" w:hAnsi="黑体" w:eastAsia="黑体" w:cs="黑体"/>
          <w:spacing w:val="16"/>
          <w:sz w:val="30"/>
          <w:szCs w:val="30"/>
          <w:lang w:val="en-US" w:eastAsia="zh-CN"/>
        </w:rPr>
      </w:pPr>
      <w:r>
        <w:rPr>
          <w:rFonts w:ascii="黑体" w:hAnsi="黑体" w:eastAsia="黑体" w:cs="黑体"/>
          <w:spacing w:val="16"/>
          <w:sz w:val="30"/>
          <w:szCs w:val="30"/>
        </w:rPr>
        <w:t>赛项组别：</w:t>
      </w:r>
      <w:r>
        <w:rPr>
          <w:rFonts w:hint="eastAsia" w:ascii="黑体" w:hAnsi="黑体" w:eastAsia="黑体" w:cs="黑体"/>
          <w:spacing w:val="16"/>
          <w:sz w:val="30"/>
          <w:szCs w:val="30"/>
          <w:u w:val="single"/>
          <w:lang w:val="en-US" w:eastAsia="zh-CN"/>
        </w:rPr>
        <w:t xml:space="preserve">     </w:t>
      </w:r>
      <w:r>
        <w:rPr>
          <w:rFonts w:ascii="黑体" w:hAnsi="黑体" w:eastAsia="黑体" w:cs="黑体"/>
          <w:spacing w:val="16"/>
          <w:sz w:val="30"/>
          <w:szCs w:val="30"/>
          <w:u w:val="single"/>
        </w:rPr>
        <w:t>高等职业教育(</w:t>
      </w:r>
      <w:r>
        <w:rPr>
          <w:rFonts w:hint="eastAsia" w:ascii="黑体" w:hAnsi="黑体" w:eastAsia="黑体" w:cs="黑体"/>
          <w:spacing w:val="16"/>
          <w:sz w:val="30"/>
          <w:szCs w:val="30"/>
          <w:u w:val="single"/>
          <w:lang w:val="en-US" w:eastAsia="zh-CN"/>
        </w:rPr>
        <w:t>学生</w:t>
      </w:r>
      <w:r>
        <w:rPr>
          <w:rFonts w:ascii="黑体" w:hAnsi="黑体" w:eastAsia="黑体" w:cs="黑体"/>
          <w:spacing w:val="16"/>
          <w:sz w:val="30"/>
          <w:szCs w:val="30"/>
          <w:u w:val="single"/>
        </w:rPr>
        <w:t>赛)</w:t>
      </w:r>
      <w:r>
        <w:rPr>
          <w:rFonts w:hint="eastAsia" w:ascii="黑体" w:hAnsi="黑体" w:eastAsia="黑体" w:cs="黑体"/>
          <w:spacing w:val="16"/>
          <w:sz w:val="30"/>
          <w:szCs w:val="30"/>
          <w:u w:val="single"/>
          <w:lang w:val="en-US" w:eastAsia="zh-CN"/>
        </w:rPr>
        <w:t xml:space="preserve">  </w:t>
      </w:r>
    </w:p>
    <w:p w14:paraId="0475FB00">
      <w:pPr>
        <w:keepNext w:val="0"/>
        <w:keepLines w:val="0"/>
        <w:pageBreakBefore w:val="0"/>
        <w:wordWrap/>
        <w:overflowPunct/>
        <w:topLinePunct w:val="0"/>
        <w:bidi w:val="0"/>
        <w:spacing w:line="360" w:lineRule="auto"/>
        <w:ind w:left="0" w:leftChars="0" w:right="0" w:rightChars="0" w:firstLine="664" w:firstLineChars="200"/>
        <w:rPr>
          <w:rFonts w:hint="default" w:ascii="黑体" w:hAnsi="黑体" w:eastAsia="黑体" w:cs="黑体"/>
          <w:spacing w:val="16"/>
          <w:sz w:val="30"/>
          <w:szCs w:val="30"/>
          <w:lang w:val="en-US" w:eastAsia="zh-CN"/>
        </w:rPr>
      </w:pPr>
      <w:r>
        <w:rPr>
          <w:rFonts w:ascii="黑体" w:hAnsi="黑体" w:eastAsia="黑体" w:cs="黑体"/>
          <w:spacing w:val="16"/>
          <w:sz w:val="30"/>
          <w:szCs w:val="30"/>
        </w:rPr>
        <w:t>赛项编号：</w:t>
      </w:r>
      <w:r>
        <w:rPr>
          <w:rFonts w:hint="eastAsia" w:ascii="黑体" w:hAnsi="黑体" w:eastAsia="黑体" w:cs="黑体"/>
          <w:spacing w:val="16"/>
          <w:sz w:val="30"/>
          <w:szCs w:val="30"/>
          <w:u w:val="single"/>
          <w:lang w:val="en-US" w:eastAsia="zh-CN"/>
        </w:rPr>
        <w:t xml:space="preserve">        </w:t>
      </w:r>
      <w:r>
        <w:rPr>
          <w:rFonts w:hint="eastAsia" w:ascii="黑体" w:hAnsi="黑体" w:eastAsia="黑体" w:cs="黑体"/>
          <w:spacing w:val="16"/>
          <w:sz w:val="30"/>
          <w:szCs w:val="30"/>
          <w:u w:val="single"/>
          <w:lang w:eastAsia="zh-CN"/>
        </w:rPr>
        <w:t>GZ</w:t>
      </w:r>
      <w:r>
        <w:rPr>
          <w:rFonts w:hint="eastAsia" w:ascii="黑体" w:hAnsi="黑体" w:eastAsia="黑体" w:cs="黑体"/>
          <w:spacing w:val="16"/>
          <w:sz w:val="30"/>
          <w:szCs w:val="30"/>
          <w:u w:val="single"/>
          <w:lang w:val="en-US" w:eastAsia="zh-CN"/>
        </w:rPr>
        <w:t xml:space="preserve">202405          </w:t>
      </w:r>
    </w:p>
    <w:p w14:paraId="5ED5B0F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40" w:firstLineChars="200"/>
        <w:jc w:val="left"/>
        <w:rPr>
          <w:rFonts w:hint="eastAsia" w:ascii="仿宋" w:hAnsi="仿宋" w:eastAsia="仿宋" w:cs="仿宋"/>
          <w:sz w:val="32"/>
          <w:szCs w:val="32"/>
        </w:rPr>
      </w:pPr>
    </w:p>
    <w:p w14:paraId="098AADF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40" w:firstLineChars="200"/>
        <w:jc w:val="left"/>
        <w:rPr>
          <w:rFonts w:hint="eastAsia" w:ascii="仿宋" w:hAnsi="仿宋" w:eastAsia="仿宋" w:cs="仿宋"/>
          <w:sz w:val="32"/>
          <w:szCs w:val="32"/>
        </w:rPr>
      </w:pPr>
    </w:p>
    <w:p w14:paraId="51FE82A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40" w:firstLineChars="200"/>
        <w:jc w:val="left"/>
        <w:rPr>
          <w:rFonts w:hint="eastAsia" w:ascii="仿宋" w:hAnsi="仿宋" w:eastAsia="仿宋" w:cs="仿宋"/>
          <w:sz w:val="32"/>
          <w:szCs w:val="32"/>
        </w:rPr>
      </w:pPr>
    </w:p>
    <w:p w14:paraId="7CC698A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40" w:firstLineChars="200"/>
        <w:jc w:val="left"/>
        <w:rPr>
          <w:rFonts w:hint="eastAsia" w:ascii="仿宋" w:hAnsi="仿宋" w:eastAsia="仿宋" w:cs="仿宋"/>
          <w:sz w:val="32"/>
          <w:szCs w:val="32"/>
        </w:rPr>
      </w:pPr>
    </w:p>
    <w:p w14:paraId="37453966">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left"/>
        <w:rPr>
          <w:rFonts w:hint="eastAsia" w:ascii="仿宋" w:hAnsi="仿宋" w:eastAsia="仿宋" w:cs="仿宋"/>
          <w:sz w:val="32"/>
          <w:szCs w:val="32"/>
        </w:rPr>
      </w:pPr>
    </w:p>
    <w:p w14:paraId="59AE5B3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en-US"/>
        </w:rPr>
        <w:sectPr>
          <w:headerReference r:id="rId6" w:type="default"/>
          <w:footerReference r:id="rId7" w:type="default"/>
          <w:pgSz w:w="11906" w:h="16838"/>
          <w:pgMar w:top="1417" w:right="1655" w:bottom="1145" w:left="1672" w:header="0" w:footer="975" w:gutter="0"/>
          <w:pgBorders>
            <w:top w:val="none" w:sz="0" w:space="0"/>
            <w:left w:val="none" w:sz="0" w:space="0"/>
            <w:bottom w:val="none" w:sz="0" w:space="0"/>
            <w:right w:val="none" w:sz="0" w:space="0"/>
          </w:pgBorders>
          <w:cols w:space="0" w:num="1"/>
          <w:rtlGutter w:val="0"/>
          <w:docGrid w:linePitch="312" w:charSpace="0"/>
        </w:sectPr>
      </w:pPr>
    </w:p>
    <w:p w14:paraId="396116B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一、企业背景</w:t>
      </w:r>
    </w:p>
    <w:p w14:paraId="7CA0943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优越商贸有限责任公司是一家经营范围涵盖办公、居家、食品、数码配件、母婴、箱包、美妆、饰品、运动器械等的综合贸易公司。公司成立于2018年，负责人是陈石。企业经营商品种类多样，贴合用户需求。企业在不断提高商品质量的前提下，力争提供完善的品牌服务，让用户安心购买，并且商品价格实惠，日常销量较好，积累了一批忠实客户。</w:t>
      </w:r>
    </w:p>
    <w:p w14:paraId="2FA1598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恰逢平台开展购物狂欢节活动，陈石计划围绕购物狂欢节策划并实施一场福利直播，回馈企业新老用户。</w:t>
      </w:r>
    </w:p>
    <w:p w14:paraId="266EBE4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备选5款商品如下：钢笔、果汁、牛奶饼干、双肩包、毽球。</w:t>
      </w:r>
    </w:p>
    <w:p w14:paraId="2CF99F7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64" w:firstLineChars="200"/>
        <w:rPr>
          <w:rFonts w:hint="eastAsia" w:ascii="黑体" w:hAnsi="黑体" w:eastAsia="黑体" w:cs="黑体"/>
          <w:spacing w:val="16"/>
          <w:sz w:val="30"/>
          <w:szCs w:val="30"/>
          <w:lang w:val="en-US" w:eastAsia="zh-CN"/>
        </w:rPr>
      </w:pPr>
      <w:r>
        <w:rPr>
          <w:rFonts w:hint="eastAsia" w:ascii="黑体" w:hAnsi="黑体" w:eastAsia="黑体" w:cs="黑体"/>
          <w:spacing w:val="16"/>
          <w:sz w:val="30"/>
          <w:szCs w:val="30"/>
          <w:lang w:val="en-US" w:eastAsia="zh-CN"/>
        </w:rPr>
        <w:t>二、任务要求</w:t>
      </w:r>
    </w:p>
    <w:p w14:paraId="3547855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参赛团队以优越商贸有限责任公司负责人陈石及其团队的身份，根据商品资料等背景信息，完成直播选品和定价、规划推广资金、撰写脚本、策划直播主题和互动方案、进行广告投放等直播策划。在直播策划的基础上进行直播运营，开展直播间装修、直播销售、直播互动等活动，要求从5款备选商品中选择3款商品进行直播策划和运营，每款商品至少直播1轮。在直播结束后，根据直播平台后台数据进行复盘分析，并根据复盘内容，按照提供的PPT模板制作PPT并提交。</w:t>
      </w:r>
    </w:p>
    <w:p w14:paraId="52199B3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比赛共包含3个模块、7个任务，分别为直播商品管理、直播内容策划、直播推广策划、直播间装修、直播销售、直播互动、直播数据分析与优化。</w:t>
      </w:r>
    </w:p>
    <w:p w14:paraId="2F1F6EB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仿宋" w:hAnsi="仿宋" w:eastAsia="仿宋" w:cs="仿宋"/>
          <w:b/>
          <w:bCs w:val="0"/>
          <w:color w:val="000000"/>
          <w:kern w:val="0"/>
          <w:sz w:val="28"/>
          <w:szCs w:val="28"/>
          <w:lang w:val="en-US" w:eastAsia="zh-CN"/>
        </w:rPr>
      </w:pPr>
      <w:r>
        <w:rPr>
          <w:rFonts w:hint="eastAsia" w:ascii="仿宋" w:hAnsi="仿宋" w:eastAsia="仿宋" w:cs="仿宋"/>
          <w:b/>
          <w:bCs w:val="0"/>
          <w:color w:val="000000"/>
          <w:kern w:val="0"/>
          <w:sz w:val="28"/>
          <w:szCs w:val="28"/>
          <w:lang w:val="en-US" w:eastAsia="zh-CN"/>
        </w:rPr>
        <w:t>模块一 直播策划（分值：30分，时间：90分钟）</w:t>
      </w:r>
    </w:p>
    <w:p w14:paraId="3857BA9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任务1：直播商品管理</w:t>
      </w:r>
    </w:p>
    <w:p w14:paraId="380F7F0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直播团队根据给定的商品销售数据，结合商品详细介绍，对商品进行评估，从5款备选商品中选择3款直播商品，对商品角色进行定位，明确商品在直播间的作用，合理规划运营资金，完成3款直播商品的采购，并制定商品日常价格、直播价格、商品促销形式及利益点等。</w:t>
      </w:r>
    </w:p>
    <w:p w14:paraId="35BEB9B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任务2：直播内容策划</w:t>
      </w:r>
    </w:p>
    <w:p w14:paraId="332DBEB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直播团队根据直播商品，策划本场直播的主题，分析市场数据，总结不同时间段的流量特点，为本场直播策划合适的时间，并且在直播开场、商品介绍、直播收尾等环节设计直播互动方案。根据直播主题以及互动方案，设计直播流程与各环节的时间，结合商品详细信息，根据直播商品销售策略，运用FAB法则等方法提炼商品卖点，完成直播脚本的撰写。</w:t>
      </w:r>
    </w:p>
    <w:p w14:paraId="3B513D7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任务3：直播推广策划</w:t>
      </w:r>
    </w:p>
    <w:p w14:paraId="0DC4366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直播团队根据商品信息及行业数据，分析目标人群的年龄分布、性别分布、地域分布、兴趣偏好等数据，明确目标受众，形成客户画像。根据直播推广需求，结合给定的推广资金、图文、视频素材等内容，明确目标受众群体，确定推广目标，合理分配推广预算，制定直播推广策略，为后续直播推广实施提供参考。</w:t>
      </w:r>
    </w:p>
    <w:p w14:paraId="40D23AB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直播团队根据直播推广策略，选择图文推广或短视频推广，创建推广计划，结合目标受众特点，从多维度完成目标受众定向，精准圈定受众标签，设置直播推广预算及出价方式，确定推广内容投放位置，添加推广创意，完成直播推广实施，提升展现量、点击量、点击率等指标数值。</w:t>
      </w:r>
    </w:p>
    <w:p w14:paraId="161001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仿宋" w:hAnsi="仿宋" w:eastAsia="仿宋" w:cs="仿宋"/>
          <w:b/>
          <w:bCs w:val="0"/>
          <w:color w:val="000000"/>
          <w:kern w:val="0"/>
          <w:sz w:val="28"/>
          <w:szCs w:val="28"/>
          <w:lang w:val="en-US" w:eastAsia="zh-CN"/>
        </w:rPr>
      </w:pPr>
      <w:r>
        <w:rPr>
          <w:rFonts w:hint="eastAsia" w:ascii="仿宋" w:hAnsi="仿宋" w:eastAsia="仿宋" w:cs="仿宋"/>
          <w:b/>
          <w:bCs w:val="0"/>
          <w:color w:val="000000"/>
          <w:kern w:val="0"/>
          <w:sz w:val="28"/>
          <w:szCs w:val="28"/>
          <w:lang w:val="en-US" w:eastAsia="zh-CN"/>
        </w:rPr>
        <w:t>模块二：直播运营（分值：50分，时间：90分钟）</w:t>
      </w:r>
    </w:p>
    <w:p w14:paraId="2AB939F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任务1：直播间装修</w:t>
      </w:r>
    </w:p>
    <w:p w14:paraId="68AB2CF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直播团队根据直播间用户的特点，设置直播间标题、欢迎语、屏蔽词、快捷短语、直播间信息、高频问题回复等内容，完成直播场景搭建。根据直播商品介绍，为3款直播商品编写商品标题，设置商品主图、详情页等内容。</w:t>
      </w:r>
    </w:p>
    <w:p w14:paraId="24FE808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任务2：直播销售</w:t>
      </w:r>
    </w:p>
    <w:p w14:paraId="10CB8D1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直播团队根据直播脚本，完成一场60分钟的不间断直播，直播时间包括扫码登录、设备调试时间。在直播开场环节，主动向直播间用户问好，自我介绍，预告直播主题及亮点活动等，完成直播开场预热；在商品销售环节，以问题情境引入、热点引入等方式自然地引入直播商品，介绍商品属性及卖点，并配合商品细节展示，通过商品日常价格与直播价格的对比，突出促销活动的吸引力，商品上架后及时引导用户购买；在直播收尾环节，结合直播销售情况，完成引导用户关注直播间、致谢等，提升商品销售量、粉丝数量等指标数值。在直播过程中，主播人设特色鲜明，妆容、发型、服饰搭配适宜，表情管理到位，直播过程中能配合肢体动作，把控直播节奏，营造良好的直播氛围，不得出现不雅行为，如不文明用语或手势等。</w:t>
      </w:r>
    </w:p>
    <w:p w14:paraId="36981D8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任务3：直播互动</w:t>
      </w:r>
    </w:p>
    <w:p w14:paraId="3ED2ED9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直播团队根据直播互动方案，开展优惠券、秒杀等活动，在直播过程中积极与观众进行抽奖、发红包、订单处理等互动，引导直播间用户参与，活跃直播间氛围。团队人员要配合主播讲解进度推送抽奖、发红包等互动活动。当评论区有弹幕问题弹出时，主播需要组织合适的话术，及时完成弹幕问题处理。</w:t>
      </w:r>
    </w:p>
    <w:p w14:paraId="61173F6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rPr>
          <w:rFonts w:hint="eastAsia" w:ascii="仿宋" w:hAnsi="仿宋" w:eastAsia="仿宋" w:cs="仿宋"/>
          <w:b/>
          <w:bCs w:val="0"/>
          <w:color w:val="000000"/>
          <w:kern w:val="0"/>
          <w:sz w:val="28"/>
          <w:szCs w:val="28"/>
          <w:lang w:val="en-US" w:eastAsia="zh-CN"/>
        </w:rPr>
      </w:pPr>
      <w:r>
        <w:rPr>
          <w:rFonts w:hint="eastAsia" w:ascii="仿宋" w:hAnsi="仿宋" w:eastAsia="仿宋" w:cs="仿宋"/>
          <w:b/>
          <w:bCs w:val="0"/>
          <w:color w:val="000000"/>
          <w:kern w:val="0"/>
          <w:sz w:val="28"/>
          <w:szCs w:val="28"/>
          <w:lang w:val="en-US" w:eastAsia="zh-CN"/>
        </w:rPr>
        <w:t>模块三：直播复盘（分值：20分，时间：60分钟）</w:t>
      </w:r>
    </w:p>
    <w:p w14:paraId="26DBF2D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任务1：直播数据分析与优化（时间：60分钟）</w:t>
      </w:r>
    </w:p>
    <w:p w14:paraId="59A33C4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bCs/>
          <w:color w:val="000000"/>
          <w:kern w:val="0"/>
          <w:sz w:val="28"/>
          <w:szCs w:val="28"/>
          <w:lang w:val="en-US" w:eastAsia="zh-CN"/>
        </w:rPr>
      </w:pPr>
      <w:r>
        <w:rPr>
          <w:rFonts w:hint="eastAsia" w:ascii="仿宋" w:hAnsi="仿宋" w:eastAsia="仿宋" w:cs="仿宋"/>
          <w:bCs/>
          <w:color w:val="000000"/>
          <w:kern w:val="0"/>
          <w:sz w:val="28"/>
          <w:szCs w:val="28"/>
          <w:lang w:val="en-US" w:eastAsia="zh-CN"/>
        </w:rPr>
        <w:t>直播团队根据直播后台，分析流量、销售、用户等相关数据，评估直播整体效果；根据数据分析结果，提炼直播及推广的亮点与不足，以PPT形式形成直播优化方案。</w:t>
      </w:r>
    </w:p>
    <w:p w14:paraId="29FFCDE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rPr>
          <w:rFonts w:hint="eastAsia" w:ascii="仿宋" w:hAnsi="仿宋" w:eastAsia="仿宋" w:cs="仿宋"/>
          <w:sz w:val="28"/>
          <w:szCs w:val="28"/>
          <w:lang w:eastAsia="zh-CN"/>
        </w:rPr>
      </w:pPr>
    </w:p>
    <w:sectPr>
      <w:pgSz w:w="11906" w:h="16838"/>
      <w:pgMar w:top="1417" w:right="1655" w:bottom="1145" w:left="1672" w:header="0" w:footer="975" w:gutter="0"/>
      <w:pgBorders>
        <w:top w:val="none" w:sz="0" w:space="0"/>
        <w:left w:val="none" w:sz="0" w:space="0"/>
        <w:bottom w:val="none" w:sz="0" w:space="0"/>
        <w:right w:val="none" w:sz="0" w:space="0"/>
      </w:pgBorders>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E883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C62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82B4D">
    <w:pPr>
      <w:ind w:left="64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210"/>
  <w:drawingGridVerticalSpacing w:val="99999992"/>
  <w:displayHorizontalDrawingGridEvery w:val="1"/>
  <w:displayVerticalDrawingGridEvery w:val="1"/>
  <w:characterSpacingControl w:val="doNotCompress"/>
  <w:footnotePr>
    <w:footnote w:id="0"/>
    <w:footnote w:id="1"/>
  </w:footnotePr>
  <w:endnotePr>
    <w:endnote w:id="0"/>
    <w:endnote w:id="1"/>
  </w:endnotePr>
  <w:compat>
    <w:spaceForUL/>
    <w:ulTrailSpace/>
    <w:doNotExpandShiftReturn/>
    <w:useFELayout/>
    <w:compatSetting w:name="compatibilityMode" w:uri="http://schemas.microsoft.com/office/word" w:val="14"/>
  </w:compat>
  <w:docVars>
    <w:docVar w:name="commondata" w:val="eyJoZGlkIjoiZGNlMmI0NDYzZjY1ZDc3ZGNiZGMzODc4MjA4MmYyYzIifQ=="/>
  </w:docVars>
  <w:rsids>
    <w:rsidRoot w:val="00000000"/>
    <w:rsid w:val="00535E7A"/>
    <w:rsid w:val="03B95FF4"/>
    <w:rsid w:val="040A684F"/>
    <w:rsid w:val="0431202E"/>
    <w:rsid w:val="051F632A"/>
    <w:rsid w:val="053C0C8A"/>
    <w:rsid w:val="079A724F"/>
    <w:rsid w:val="08EB6C4F"/>
    <w:rsid w:val="0946032A"/>
    <w:rsid w:val="09C86F91"/>
    <w:rsid w:val="0B2E72C7"/>
    <w:rsid w:val="0BC419DA"/>
    <w:rsid w:val="0C8E13AF"/>
    <w:rsid w:val="0D4C612B"/>
    <w:rsid w:val="0E1C78AB"/>
    <w:rsid w:val="0E3270CE"/>
    <w:rsid w:val="0E680D42"/>
    <w:rsid w:val="0E7A3A10"/>
    <w:rsid w:val="0F5F3F4B"/>
    <w:rsid w:val="109E442E"/>
    <w:rsid w:val="116464E0"/>
    <w:rsid w:val="131303D1"/>
    <w:rsid w:val="137E6912"/>
    <w:rsid w:val="14DC7D94"/>
    <w:rsid w:val="16BC1C2B"/>
    <w:rsid w:val="19720CC7"/>
    <w:rsid w:val="19FA13E8"/>
    <w:rsid w:val="1A7B3BAB"/>
    <w:rsid w:val="1A815666"/>
    <w:rsid w:val="1B0B13D3"/>
    <w:rsid w:val="1C19367C"/>
    <w:rsid w:val="1C7D00AF"/>
    <w:rsid w:val="1CD51C99"/>
    <w:rsid w:val="1DE218CD"/>
    <w:rsid w:val="1FBC1DEE"/>
    <w:rsid w:val="1FF71F26"/>
    <w:rsid w:val="24881C5F"/>
    <w:rsid w:val="2584600A"/>
    <w:rsid w:val="26633E71"/>
    <w:rsid w:val="27084A19"/>
    <w:rsid w:val="275418E4"/>
    <w:rsid w:val="27B54BA0"/>
    <w:rsid w:val="287700A8"/>
    <w:rsid w:val="28B704A4"/>
    <w:rsid w:val="294D2BB7"/>
    <w:rsid w:val="2A30757E"/>
    <w:rsid w:val="2A557F75"/>
    <w:rsid w:val="2AC61A84"/>
    <w:rsid w:val="2C954FA0"/>
    <w:rsid w:val="2D12039F"/>
    <w:rsid w:val="2DB43C44"/>
    <w:rsid w:val="2E1A39AF"/>
    <w:rsid w:val="2E750BE6"/>
    <w:rsid w:val="323F30EA"/>
    <w:rsid w:val="34403A44"/>
    <w:rsid w:val="352F11D2"/>
    <w:rsid w:val="359F479A"/>
    <w:rsid w:val="36363350"/>
    <w:rsid w:val="36DF5796"/>
    <w:rsid w:val="37922808"/>
    <w:rsid w:val="37FE1C4C"/>
    <w:rsid w:val="3AE315CD"/>
    <w:rsid w:val="3C4D75C6"/>
    <w:rsid w:val="3DB35286"/>
    <w:rsid w:val="3E87041D"/>
    <w:rsid w:val="41BA3087"/>
    <w:rsid w:val="44374472"/>
    <w:rsid w:val="44894F93"/>
    <w:rsid w:val="474E0A04"/>
    <w:rsid w:val="4803495B"/>
    <w:rsid w:val="49746212"/>
    <w:rsid w:val="4A064990"/>
    <w:rsid w:val="4BA46C9A"/>
    <w:rsid w:val="4BBC402F"/>
    <w:rsid w:val="4DE84AD8"/>
    <w:rsid w:val="4E2B70BB"/>
    <w:rsid w:val="4EEE25C2"/>
    <w:rsid w:val="507F724A"/>
    <w:rsid w:val="51B55619"/>
    <w:rsid w:val="52075749"/>
    <w:rsid w:val="543C34B2"/>
    <w:rsid w:val="55317684"/>
    <w:rsid w:val="570908FE"/>
    <w:rsid w:val="574216FD"/>
    <w:rsid w:val="59E03517"/>
    <w:rsid w:val="5ABD17A5"/>
    <w:rsid w:val="5AFF11AF"/>
    <w:rsid w:val="5CE17DDB"/>
    <w:rsid w:val="5CE70651"/>
    <w:rsid w:val="61477910"/>
    <w:rsid w:val="61C615DA"/>
    <w:rsid w:val="62461CD5"/>
    <w:rsid w:val="637644DD"/>
    <w:rsid w:val="65960E66"/>
    <w:rsid w:val="65C37EAD"/>
    <w:rsid w:val="66140709"/>
    <w:rsid w:val="66293A88"/>
    <w:rsid w:val="670342D9"/>
    <w:rsid w:val="67C75D7F"/>
    <w:rsid w:val="6A1B7B8C"/>
    <w:rsid w:val="6AC124E1"/>
    <w:rsid w:val="6ACF10A2"/>
    <w:rsid w:val="6AEF704E"/>
    <w:rsid w:val="6C8E2897"/>
    <w:rsid w:val="6D7E290C"/>
    <w:rsid w:val="6D81004E"/>
    <w:rsid w:val="71A57530"/>
    <w:rsid w:val="726C71D7"/>
    <w:rsid w:val="72BE69C4"/>
    <w:rsid w:val="75BC2223"/>
    <w:rsid w:val="760106D0"/>
    <w:rsid w:val="765B1A3C"/>
    <w:rsid w:val="76D67314"/>
    <w:rsid w:val="77616257"/>
    <w:rsid w:val="79711576"/>
    <w:rsid w:val="7BED75DA"/>
    <w:rsid w:val="7D9C12B8"/>
    <w:rsid w:val="7DCF50A8"/>
    <w:rsid w:val="7EB663A9"/>
    <w:rsid w:val="7F0D7F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uiPriority="99" w:name="heading 2"/>
    <w:lsdException w:qFormat="1" w:unhideWhenUsed="0" w:uiPriority="0"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qFormat="1" w:unhideWhenUsed="0" w:uiPriority="0"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qFormat="1" w:uiPriority="99" w:semiHidden="0" w:name="Body Text First Indent"/>
    <w:lsdException w:qFormat="1"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pPr>
    <w:rPr>
      <w:rFonts w:ascii="Arial" w:hAnsi="Arial" w:eastAsia="Arial" w:cs="Arial"/>
      <w:color w:val="000000"/>
      <w:kern w:val="0"/>
      <w:sz w:val="21"/>
      <w:szCs w:val="21"/>
      <w:lang w:val="en-US" w:eastAsia="en-US" w:bidi="ar-SA"/>
    </w:rPr>
  </w:style>
  <w:style w:type="paragraph" w:styleId="2">
    <w:name w:val="heading 1"/>
    <w:basedOn w:val="1"/>
    <w:qFormat/>
    <w:uiPriority w:val="9"/>
    <w:pPr>
      <w:keepNext/>
      <w:keepLines/>
      <w:spacing w:beforeLines="50" w:afterLines="50"/>
      <w:outlineLvl w:val="0"/>
    </w:pPr>
    <w:rPr>
      <w:rFonts w:eastAsia="黑体"/>
      <w:bCs/>
      <w:kern w:val="44"/>
      <w:szCs w:val="44"/>
    </w:rPr>
  </w:style>
  <w:style w:type="paragraph" w:styleId="3">
    <w:name w:val="heading 3"/>
    <w:basedOn w:val="1"/>
    <w:qFormat/>
    <w:uiPriority w:val="0"/>
    <w:pPr>
      <w:widowControl/>
      <w:spacing w:beforeLines="50" w:afterLines="50"/>
      <w:jc w:val="left"/>
      <w:outlineLvl w:val="2"/>
    </w:pPr>
    <w:rPr>
      <w:rFonts w:ascii="宋体" w:hAnsi="宋体" w:eastAsia="楷体" w:cs="宋体"/>
      <w:bCs/>
      <w:kern w:val="0"/>
      <w:szCs w:val="27"/>
    </w:rPr>
  </w:style>
  <w:style w:type="character" w:default="1" w:styleId="13">
    <w:name w:val="Default Paragraph Font"/>
    <w:semiHidden/>
    <w:qFormat/>
    <w:uiPriority w:val="0"/>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Body Text Indent"/>
    <w:basedOn w:val="1"/>
    <w:unhideWhenUsed/>
    <w:qFormat/>
    <w:uiPriority w:val="99"/>
    <w:pPr>
      <w:spacing w:after="120"/>
      <w:ind w:left="420" w:leftChars="200"/>
    </w:pPr>
    <w:rPr>
      <w:rFonts w:eastAsia="宋体"/>
      <w:sz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9">
    <w:name w:val="Body Text First Indent"/>
    <w:basedOn w:val="5"/>
    <w:unhideWhenUsed/>
    <w:qFormat/>
    <w:uiPriority w:val="99"/>
    <w:pPr>
      <w:ind w:firstLine="420" w:firstLineChars="100"/>
    </w:pPr>
  </w:style>
  <w:style w:type="paragraph" w:styleId="10">
    <w:name w:val="Body Text First Indent 2"/>
    <w:basedOn w:val="6"/>
    <w:unhideWhenUsed/>
    <w:qFormat/>
    <w:uiPriority w:val="99"/>
    <w:pPr>
      <w:ind w:firstLine="420" w:firstLineChars="200"/>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rPr>
      <w:rFonts w:ascii="Times New Roman" w:hAnsi="Times New Roman" w:eastAsia="宋体" w:cs="Times New Roman"/>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Arial" w:hAnsi="Arial" w:eastAsia="Arial" w:cs="Arial"/>
      <w:sz w:val="21"/>
      <w:szCs w:val="21"/>
      <w:lang w:val="en-US" w:eastAsia="en-US" w:bidi="ar-SA"/>
    </w:rPr>
  </w:style>
  <w:style w:type="paragraph" w:customStyle="1" w:styleId="17">
    <w:name w:val="【表格】"/>
    <w:qFormat/>
    <w:uiPriority w:val="5"/>
    <w:pPr>
      <w:spacing w:line="276" w:lineRule="auto"/>
      <w:jc w:val="center"/>
    </w:pPr>
    <w:rPr>
      <w:rFonts w:ascii="宋体" w:hAnsi="Times New Roman" w:eastAsia="宋体" w:cs="Times New Roman"/>
      <w:bCs/>
      <w:kern w:val="44"/>
      <w:sz w:val="21"/>
      <w:szCs w:val="44"/>
      <w:lang w:val="en-US" w:eastAsia="zh-CN" w:bidi="ar-SA"/>
    </w:rPr>
  </w:style>
  <w:style w:type="paragraph" w:customStyle="1" w:styleId="18">
    <w:name w:val="【（1）】"/>
    <w:qFormat/>
    <w:uiPriority w:val="9"/>
    <w:pPr>
      <w:spacing w:line="300" w:lineRule="auto"/>
      <w:ind w:firstLine="200" w:firstLineChars="200"/>
      <w:jc w:val="both"/>
    </w:pPr>
    <w:rPr>
      <w:rFonts w:ascii="宋体" w:hAnsi="Times New Roman" w:eastAsia="宋体" w:cs="Times New Roman"/>
      <w:bCs/>
      <w:kern w:val="44"/>
      <w:sz w:val="21"/>
      <w:szCs w:val="44"/>
      <w:lang w:val="en-US" w:eastAsia="zh-CN" w:bidi="ar-SA"/>
    </w:rPr>
  </w:style>
  <w:style w:type="paragraph" w:customStyle="1" w:styleId="19">
    <w:name w:val="paragraph"/>
    <w:semiHidden/>
    <w:qFormat/>
    <w:uiPriority w:val="0"/>
    <w:pPr>
      <w:spacing w:before="100" w:beforeAutospacing="1" w:after="100" w:afterAutospacing="1"/>
    </w:pPr>
    <w:rPr>
      <w:rFonts w:ascii="等线" w:hAnsi="等线" w:eastAsia="等线"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11467</Words>
  <Characters>11996</Characters>
  <Lines>0</Lines>
  <Paragraphs>0</Paragraphs>
  <TotalTime>1</TotalTime>
  <ScaleCrop>false</ScaleCrop>
  <LinksUpToDate>false</LinksUpToDate>
  <CharactersWithSpaces>12150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2023-10-10T09:55:00Z</dcterms:created>
  <dc:creator>cui</dc:creator>
  <cp:lastModifiedBy>陈波文</cp:lastModifiedBy>
  <dcterms:modified xsi:type="dcterms:W3CDTF">2024-09-11T09:27:25Z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2023-10-18T13:50:40Z</vt:filetime>
  </property>
  <property fmtid="{D5CDD505-2E9C-101B-9397-08002B2CF9AE}" pid="4" name="KSOProductBuildVer">
    <vt:lpwstr>2052-12.1.0.17857</vt:lpwstr>
  </property>
  <property fmtid="{D5CDD505-2E9C-101B-9397-08002B2CF9AE}" pid="5" name="ICV">
    <vt:lpwstr>38EC9E9E20EF4CFCB13CA8A82EF95EA4_12</vt:lpwstr>
  </property>
</Properties>
</file>