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381" w:rsidRDefault="00327381">
      <w:pPr>
        <w:snapToGrid w:val="0"/>
        <w:spacing w:line="580" w:lineRule="atLeast"/>
        <w:jc w:val="center"/>
        <w:rPr>
          <w:rFonts w:ascii="黑体" w:eastAsia="黑体" w:hAnsi="黑体" w:cs="黑体"/>
          <w:b/>
          <w:sz w:val="36"/>
          <w:szCs w:val="36"/>
        </w:rPr>
      </w:pPr>
    </w:p>
    <w:p w:rsidR="00327381" w:rsidRDefault="00AA637F">
      <w:pPr>
        <w:snapToGrid w:val="0"/>
        <w:spacing w:line="580" w:lineRule="atLeast"/>
        <w:jc w:val="center"/>
        <w:rPr>
          <w:rFonts w:ascii="黑体" w:eastAsia="黑体" w:hAnsi="黑体" w:cs="黑体"/>
          <w:b/>
          <w:sz w:val="36"/>
          <w:szCs w:val="36"/>
        </w:rPr>
      </w:pPr>
      <w:r>
        <w:rPr>
          <w:rFonts w:ascii="黑体" w:eastAsia="黑体" w:hAnsi="黑体" w:cs="黑体" w:hint="eastAsia"/>
          <w:b/>
          <w:sz w:val="36"/>
          <w:szCs w:val="36"/>
        </w:rPr>
        <w:t>2019年沈阳职业院校技能大赛</w:t>
      </w:r>
    </w:p>
    <w:p w:rsidR="00327381" w:rsidRDefault="00AA637F">
      <w:pPr>
        <w:snapToGrid w:val="0"/>
        <w:spacing w:line="580" w:lineRule="atLeast"/>
        <w:jc w:val="center"/>
        <w:rPr>
          <w:rFonts w:ascii="黑体" w:eastAsia="黑体" w:hAnsi="黑体" w:cs="黑体"/>
          <w:b/>
          <w:sz w:val="36"/>
          <w:szCs w:val="36"/>
        </w:rPr>
      </w:pPr>
      <w:r>
        <w:rPr>
          <w:rFonts w:ascii="黑体" w:eastAsia="黑体" w:hAnsi="黑体" w:cs="黑体" w:hint="eastAsia"/>
          <w:b/>
          <w:sz w:val="36"/>
          <w:szCs w:val="36"/>
        </w:rPr>
        <w:t>中职教师组赛项规程</w:t>
      </w:r>
    </w:p>
    <w:p w:rsidR="00327381" w:rsidRDefault="00327381">
      <w:pPr>
        <w:snapToGrid w:val="0"/>
        <w:spacing w:line="580" w:lineRule="atLeast"/>
        <w:jc w:val="center"/>
        <w:rPr>
          <w:rFonts w:ascii="黑体" w:eastAsia="黑体" w:hAnsi="黑体" w:cs="黑体"/>
          <w:b/>
          <w:sz w:val="36"/>
          <w:szCs w:val="36"/>
        </w:rPr>
      </w:pP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00CB5114">
        <w:rPr>
          <w:rFonts w:ascii="仿宋_GB2312" w:eastAsia="仿宋_GB2312" w:hAnsi="仿宋_GB2312" w:cs="仿宋_GB2312" w:hint="eastAsia"/>
          <w:sz w:val="28"/>
          <w:szCs w:val="28"/>
        </w:rPr>
        <w:t>ZZJS-19001</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赛项名称：蔬菜嫁接</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bookmarkStart w:id="0" w:name="_GoBack"/>
      <w:bookmarkEnd w:id="0"/>
      <w:r>
        <w:rPr>
          <w:rFonts w:ascii="仿宋_GB2312" w:eastAsia="仿宋_GB2312" w:hAnsi="仿宋_GB2312" w:cs="仿宋_GB2312" w:hint="eastAsia"/>
          <w:sz w:val="28"/>
          <w:szCs w:val="28"/>
        </w:rPr>
        <w:t>：</w:t>
      </w:r>
      <w:r>
        <w:rPr>
          <w:rFonts w:ascii="仿宋_GB2312" w:eastAsia="仿宋_GB2312" w:hAnsi="仿宋" w:cs="宋体" w:hint="eastAsia"/>
          <w:bCs/>
          <w:kern w:val="0"/>
          <w:sz w:val="28"/>
          <w:szCs w:val="28"/>
        </w:rPr>
        <w:t xml:space="preserve">中职教师组 </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赛项归属：农林牧渔类</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327381" w:rsidRDefault="00AA637F">
      <w:pPr>
        <w:spacing w:line="580" w:lineRule="atLeast"/>
        <w:ind w:firstLineChars="200" w:firstLine="560"/>
        <w:rPr>
          <w:rFonts w:ascii="仿宋_GB2312" w:eastAsia="仿宋_GB2312" w:hAnsi="仿宋_GB2312" w:cs="仿宋_GB2312"/>
          <w:kern w:val="0"/>
          <w:sz w:val="28"/>
          <w:szCs w:val="28"/>
        </w:rPr>
      </w:pPr>
      <w:r>
        <w:rPr>
          <w:rFonts w:ascii="仿宋_GB2312" w:eastAsia="仿宋_GB2312" w:hAnsi="仿宋" w:hint="eastAsia"/>
          <w:sz w:val="28"/>
          <w:szCs w:val="28"/>
        </w:rPr>
        <w:t>通过本赛项，考核与展示园艺技术类专业教师的</w:t>
      </w:r>
      <w:r>
        <w:rPr>
          <w:rFonts w:ascii="仿宋_GB2312" w:eastAsia="仿宋_GB2312" w:hAnsi="仿宋_GB2312" w:cs="仿宋_GB2312" w:hint="eastAsia"/>
          <w:color w:val="000000"/>
          <w:sz w:val="28"/>
          <w:szCs w:val="28"/>
        </w:rPr>
        <w:t>营养液配制、嫁接操作</w:t>
      </w:r>
      <w:r>
        <w:rPr>
          <w:rFonts w:ascii="仿宋_GB2312" w:eastAsia="仿宋_GB2312" w:hAnsi="仿宋" w:hint="eastAsia"/>
          <w:sz w:val="28"/>
          <w:szCs w:val="28"/>
        </w:rPr>
        <w:t>技能知识；推进园艺技术及相关专业建设与教学改革，实现专业与产业对接、课程内容与职业标准对接、教学过程与生产过程对接，培养适应现代园艺产业发展趋势，提高职业教育的社会认可度</w:t>
      </w:r>
      <w:r>
        <w:rPr>
          <w:rFonts w:ascii="仿宋_GB2312" w:eastAsia="仿宋_GB2312" w:hAnsi="仿宋_GB2312" w:cs="仿宋_GB2312" w:hint="eastAsia"/>
          <w:kern w:val="0"/>
          <w:sz w:val="28"/>
          <w:szCs w:val="28"/>
        </w:rPr>
        <w:t>引领农业中职学校适应蔬菜产业发展，大力培养适应现代园艺产业、农村经济发展需要的复合型技术技能人才，推动中职院校“双师型”师资队伍培养，为乡村振兴和农业科技人才队伍培养提供支撑。</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本赛项以教育部颁布的职业学校相关专业教学指导方案，以国家职业技能培训鉴定《蔬菜园艺工》（中级）规定的实践操作技能要求设置</w:t>
      </w:r>
      <w:r w:rsidR="00B854E4">
        <w:rPr>
          <w:rFonts w:ascii="仿宋_GB2312" w:eastAsia="仿宋_GB2312" w:hAnsi="仿宋_GB2312" w:cs="仿宋_GB2312" w:hint="eastAsia"/>
          <w:color w:val="000000"/>
          <w:sz w:val="28"/>
          <w:szCs w:val="28"/>
        </w:rPr>
        <w:t>比赛</w:t>
      </w:r>
      <w:r>
        <w:rPr>
          <w:rFonts w:ascii="仿宋_GB2312" w:eastAsia="仿宋_GB2312" w:hAnsi="仿宋_GB2312" w:cs="仿宋_GB2312" w:hint="eastAsia"/>
          <w:color w:val="000000"/>
          <w:sz w:val="28"/>
          <w:szCs w:val="28"/>
        </w:rPr>
        <w:t>项目，主要包括营养液配制、嫁接操作两个部分。技能</w:t>
      </w:r>
      <w:r w:rsidR="00B854E4">
        <w:rPr>
          <w:rFonts w:ascii="仿宋_GB2312" w:eastAsia="仿宋_GB2312" w:hAnsi="仿宋_GB2312" w:cs="仿宋_GB2312" w:hint="eastAsia"/>
          <w:color w:val="000000"/>
          <w:sz w:val="28"/>
          <w:szCs w:val="28"/>
        </w:rPr>
        <w:t>比赛</w:t>
      </w:r>
      <w:r>
        <w:rPr>
          <w:rFonts w:ascii="仿宋_GB2312" w:eastAsia="仿宋_GB2312" w:hAnsi="仿宋_GB2312" w:cs="仿宋_GB2312" w:hint="eastAsia"/>
          <w:color w:val="000000"/>
          <w:sz w:val="28"/>
          <w:szCs w:val="28"/>
        </w:rPr>
        <w:t>时间为100分</w:t>
      </w:r>
      <w:r>
        <w:rPr>
          <w:rFonts w:ascii="仿宋_GB2312" w:eastAsia="仿宋_GB2312" w:hAnsi="仿宋_GB2312" w:cs="仿宋_GB2312" w:hint="eastAsia"/>
          <w:color w:val="000000"/>
          <w:sz w:val="28"/>
          <w:szCs w:val="28"/>
        </w:rPr>
        <w:lastRenderedPageBreak/>
        <w:t>钟，其中营养液配制60分钟、嫁接操作40分钟；总分采用100</w:t>
      </w:r>
      <w:r>
        <w:rPr>
          <w:rFonts w:ascii="仿宋_GB2312" w:eastAsia="仿宋_GB2312" w:hAnsi="仿宋_GB2312" w:cs="仿宋_GB2312" w:hint="eastAsia"/>
          <w:color w:val="000000" w:themeColor="text1"/>
          <w:sz w:val="28"/>
          <w:szCs w:val="28"/>
        </w:rPr>
        <w:t>分制</w:t>
      </w:r>
      <w:r>
        <w:rPr>
          <w:rFonts w:ascii="仿宋_GB2312" w:eastAsia="仿宋_GB2312" w:hAnsi="仿宋_GB2312" w:cs="仿宋_GB2312" w:hint="eastAsia"/>
          <w:color w:val="000000"/>
          <w:sz w:val="28"/>
          <w:szCs w:val="28"/>
        </w:rPr>
        <w:t>，其中营养液配制40分、嫁接操作60分。具体</w:t>
      </w:r>
      <w:r w:rsidR="00B854E4">
        <w:rPr>
          <w:rFonts w:ascii="仿宋_GB2312" w:eastAsia="仿宋_GB2312" w:hAnsi="仿宋_GB2312" w:cs="仿宋_GB2312" w:hint="eastAsia"/>
          <w:color w:val="000000"/>
          <w:sz w:val="28"/>
          <w:szCs w:val="28"/>
        </w:rPr>
        <w:t>比赛</w:t>
      </w:r>
      <w:r>
        <w:rPr>
          <w:rFonts w:ascii="仿宋_GB2312" w:eastAsia="仿宋_GB2312" w:hAnsi="仿宋_GB2312" w:cs="仿宋_GB2312" w:hint="eastAsia"/>
          <w:color w:val="000000"/>
          <w:sz w:val="28"/>
          <w:szCs w:val="28"/>
        </w:rPr>
        <w:t>内容及其考核知识点与技能要求如下：</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（一）营养液配制</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在规定的60分钟时间内独立完成园试配方部分化合物的母液配制和工作液配制，具体内容如下：</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1.母液配制。根据园试配方母液配制要求进行计算（浓缩液倍数和配制母液体积在试题中给出），将称取量计算结果填入对应试题空格中，使用天平称取各试剂的量，配制A、B、C三种浓缩母液并分别存放在试剂瓶中，见表1。</w:t>
      </w:r>
    </w:p>
    <w:p w:rsidR="00327381" w:rsidRDefault="00AA637F">
      <w:pPr>
        <w:spacing w:line="580" w:lineRule="atLeast"/>
        <w:jc w:val="center"/>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表1 母液配制</w:t>
      </w:r>
    </w:p>
    <w:tbl>
      <w:tblPr>
        <w:tblW w:w="8515" w:type="dxa"/>
        <w:jc w:val="center"/>
        <w:tblLayout w:type="fixed"/>
        <w:tblLook w:val="04A0"/>
      </w:tblPr>
      <w:tblGrid>
        <w:gridCol w:w="1569"/>
        <w:gridCol w:w="1938"/>
        <w:gridCol w:w="1321"/>
        <w:gridCol w:w="756"/>
        <w:gridCol w:w="971"/>
        <w:gridCol w:w="898"/>
        <w:gridCol w:w="1062"/>
      </w:tblGrid>
      <w:tr w:rsidR="00327381">
        <w:trPr>
          <w:trHeight w:val="219"/>
          <w:jc w:val="center"/>
        </w:trPr>
        <w:tc>
          <w:tcPr>
            <w:tcW w:w="156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w:t>
            </w:r>
          </w:p>
        </w:tc>
        <w:tc>
          <w:tcPr>
            <w:tcW w:w="1938"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成份</w:t>
            </w:r>
          </w:p>
        </w:tc>
        <w:tc>
          <w:tcPr>
            <w:tcW w:w="132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标准用量(mg/L)</w:t>
            </w:r>
          </w:p>
        </w:tc>
        <w:tc>
          <w:tcPr>
            <w:tcW w:w="756"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浓缩倍数</w:t>
            </w:r>
          </w:p>
        </w:tc>
        <w:tc>
          <w:tcPr>
            <w:tcW w:w="97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配制母液体积(ml)</w:t>
            </w:r>
          </w:p>
        </w:tc>
        <w:tc>
          <w:tcPr>
            <w:tcW w:w="898"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理论计算值(g)</w:t>
            </w:r>
          </w:p>
        </w:tc>
        <w:tc>
          <w:tcPr>
            <w:tcW w:w="1062"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实际称量值(g)</w:t>
            </w:r>
          </w:p>
        </w:tc>
      </w:tr>
      <w:tr w:rsidR="00327381">
        <w:trPr>
          <w:trHeight w:val="454"/>
          <w:jc w:val="center"/>
        </w:trPr>
        <w:tc>
          <w:tcPr>
            <w:tcW w:w="156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A液</w:t>
            </w:r>
          </w:p>
        </w:tc>
        <w:tc>
          <w:tcPr>
            <w:tcW w:w="1938"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Ca(NO</w:t>
            </w:r>
            <w:r>
              <w:rPr>
                <w:rFonts w:ascii="仿宋_GB2312" w:eastAsia="仿宋_GB2312" w:hAnsi="仿宋_GB2312" w:cs="仿宋_GB2312" w:hint="eastAsia"/>
                <w:bCs/>
                <w:sz w:val="24"/>
                <w:vertAlign w:val="subscript"/>
              </w:rPr>
              <w:t>3</w:t>
            </w:r>
            <w:r>
              <w:rPr>
                <w:rFonts w:ascii="仿宋_GB2312" w:eastAsia="仿宋_GB2312" w:hAnsi="仿宋_GB2312" w:cs="仿宋_GB2312" w:hint="eastAsia"/>
                <w:bCs/>
                <w:sz w:val="24"/>
              </w:rPr>
              <w:t>)</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﹒4H</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O</w:t>
            </w:r>
          </w:p>
        </w:tc>
        <w:tc>
          <w:tcPr>
            <w:tcW w:w="132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945</w:t>
            </w:r>
          </w:p>
        </w:tc>
        <w:tc>
          <w:tcPr>
            <w:tcW w:w="756"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971"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1062" w:type="dxa"/>
            <w:tcBorders>
              <w:top w:val="single" w:sz="4" w:space="0" w:color="auto"/>
              <w:left w:val="single" w:sz="4" w:space="0" w:color="auto"/>
              <w:bottom w:val="single" w:sz="4" w:space="0" w:color="auto"/>
              <w:right w:val="single" w:sz="4" w:space="0" w:color="auto"/>
            </w:tcBorders>
          </w:tcPr>
          <w:p w:rsidR="00327381" w:rsidRDefault="00327381">
            <w:pPr>
              <w:spacing w:line="580" w:lineRule="atLeast"/>
              <w:jc w:val="center"/>
              <w:rPr>
                <w:rFonts w:ascii="仿宋_GB2312" w:eastAsia="仿宋_GB2312" w:hAnsi="仿宋_GB2312" w:cs="仿宋_GB2312"/>
                <w:bCs/>
                <w:sz w:val="24"/>
              </w:rPr>
            </w:pPr>
          </w:p>
        </w:tc>
      </w:tr>
      <w:tr w:rsidR="00327381">
        <w:trPr>
          <w:trHeight w:val="454"/>
          <w:jc w:val="center"/>
        </w:trPr>
        <w:tc>
          <w:tcPr>
            <w:tcW w:w="156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B液</w:t>
            </w:r>
          </w:p>
        </w:tc>
        <w:tc>
          <w:tcPr>
            <w:tcW w:w="1938"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NH</w:t>
            </w:r>
            <w:r>
              <w:rPr>
                <w:rFonts w:ascii="仿宋_GB2312" w:eastAsia="仿宋_GB2312" w:hAnsi="仿宋_GB2312" w:cs="仿宋_GB2312" w:hint="eastAsia"/>
                <w:bCs/>
                <w:sz w:val="24"/>
                <w:vertAlign w:val="subscript"/>
              </w:rPr>
              <w:t>4</w:t>
            </w:r>
            <w:r>
              <w:rPr>
                <w:rFonts w:ascii="仿宋_GB2312" w:eastAsia="仿宋_GB2312" w:hAnsi="仿宋_GB2312" w:cs="仿宋_GB2312" w:hint="eastAsia"/>
                <w:bCs/>
                <w:sz w:val="24"/>
              </w:rPr>
              <w:t>H</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PO</w:t>
            </w:r>
            <w:r>
              <w:rPr>
                <w:rFonts w:ascii="仿宋_GB2312" w:eastAsia="仿宋_GB2312" w:hAnsi="仿宋_GB2312" w:cs="仿宋_GB2312" w:hint="eastAsia"/>
                <w:bCs/>
                <w:sz w:val="24"/>
                <w:vertAlign w:val="subscript"/>
              </w:rPr>
              <w:t>4</w:t>
            </w:r>
          </w:p>
        </w:tc>
        <w:tc>
          <w:tcPr>
            <w:tcW w:w="132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153</w:t>
            </w:r>
          </w:p>
        </w:tc>
        <w:tc>
          <w:tcPr>
            <w:tcW w:w="756"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971"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1062" w:type="dxa"/>
            <w:tcBorders>
              <w:top w:val="single" w:sz="4" w:space="0" w:color="auto"/>
              <w:left w:val="single" w:sz="4" w:space="0" w:color="auto"/>
              <w:bottom w:val="single" w:sz="4" w:space="0" w:color="auto"/>
              <w:right w:val="single" w:sz="4" w:space="0" w:color="auto"/>
            </w:tcBorders>
          </w:tcPr>
          <w:p w:rsidR="00327381" w:rsidRDefault="00327381">
            <w:pPr>
              <w:spacing w:line="580" w:lineRule="atLeast"/>
              <w:jc w:val="center"/>
              <w:rPr>
                <w:rFonts w:ascii="仿宋_GB2312" w:eastAsia="仿宋_GB2312" w:hAnsi="仿宋_GB2312" w:cs="仿宋_GB2312"/>
                <w:bCs/>
                <w:sz w:val="24"/>
              </w:rPr>
            </w:pPr>
          </w:p>
        </w:tc>
      </w:tr>
      <w:tr w:rsidR="00327381">
        <w:trPr>
          <w:trHeight w:val="454"/>
          <w:jc w:val="center"/>
        </w:trPr>
        <w:tc>
          <w:tcPr>
            <w:tcW w:w="1569" w:type="dxa"/>
            <w:vMerge w:val="restart"/>
            <w:tcBorders>
              <w:top w:val="single" w:sz="4" w:space="0" w:color="auto"/>
              <w:left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C液</w:t>
            </w:r>
          </w:p>
        </w:tc>
        <w:tc>
          <w:tcPr>
            <w:tcW w:w="1938"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FeSO</w:t>
            </w:r>
            <w:r>
              <w:rPr>
                <w:rFonts w:ascii="仿宋_GB2312" w:eastAsia="仿宋_GB2312" w:hAnsi="仿宋_GB2312" w:cs="仿宋_GB2312" w:hint="eastAsia"/>
                <w:bCs/>
                <w:sz w:val="24"/>
                <w:vertAlign w:val="subscript"/>
              </w:rPr>
              <w:t>4</w:t>
            </w:r>
            <w:r>
              <w:rPr>
                <w:rFonts w:ascii="仿宋_GB2312" w:eastAsia="仿宋_GB2312" w:hAnsi="仿宋_GB2312" w:cs="仿宋_GB2312" w:hint="eastAsia"/>
                <w:bCs/>
                <w:sz w:val="24"/>
              </w:rPr>
              <w:t>﹒7H</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O</w:t>
            </w:r>
          </w:p>
        </w:tc>
        <w:tc>
          <w:tcPr>
            <w:tcW w:w="132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13.9</w:t>
            </w:r>
          </w:p>
        </w:tc>
        <w:tc>
          <w:tcPr>
            <w:tcW w:w="756" w:type="dxa"/>
            <w:vMerge w:val="restart"/>
            <w:tcBorders>
              <w:top w:val="single" w:sz="4" w:space="0" w:color="auto"/>
              <w:left w:val="nil"/>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971" w:type="dxa"/>
            <w:vMerge w:val="restart"/>
            <w:tcBorders>
              <w:top w:val="single" w:sz="4" w:space="0" w:color="auto"/>
              <w:left w:val="nil"/>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1062" w:type="dxa"/>
            <w:tcBorders>
              <w:top w:val="single" w:sz="4" w:space="0" w:color="auto"/>
              <w:left w:val="single" w:sz="4" w:space="0" w:color="auto"/>
              <w:bottom w:val="single" w:sz="4" w:space="0" w:color="auto"/>
              <w:right w:val="single" w:sz="4" w:space="0" w:color="auto"/>
            </w:tcBorders>
          </w:tcPr>
          <w:p w:rsidR="00327381" w:rsidRDefault="00327381">
            <w:pPr>
              <w:spacing w:line="580" w:lineRule="atLeast"/>
              <w:jc w:val="center"/>
              <w:rPr>
                <w:rFonts w:ascii="仿宋_GB2312" w:eastAsia="仿宋_GB2312" w:hAnsi="仿宋_GB2312" w:cs="仿宋_GB2312"/>
                <w:bCs/>
                <w:sz w:val="24"/>
              </w:rPr>
            </w:pPr>
          </w:p>
        </w:tc>
      </w:tr>
      <w:tr w:rsidR="00327381">
        <w:trPr>
          <w:trHeight w:val="497"/>
          <w:jc w:val="center"/>
        </w:trPr>
        <w:tc>
          <w:tcPr>
            <w:tcW w:w="1569" w:type="dxa"/>
            <w:vMerge/>
            <w:tcBorders>
              <w:left w:val="single" w:sz="4" w:space="0" w:color="auto"/>
              <w:bottom w:val="single" w:sz="4" w:space="0" w:color="auto"/>
              <w:right w:val="single" w:sz="4" w:space="0" w:color="auto"/>
            </w:tcBorders>
            <w:vAlign w:val="center"/>
          </w:tcPr>
          <w:p w:rsidR="00327381" w:rsidRDefault="00327381">
            <w:pPr>
              <w:spacing w:line="580" w:lineRule="atLeast"/>
              <w:rPr>
                <w:rFonts w:ascii="仿宋_GB2312" w:eastAsia="仿宋_GB2312" w:hAnsi="仿宋_GB2312" w:cs="仿宋_GB2312"/>
                <w:bCs/>
                <w:sz w:val="24"/>
              </w:rPr>
            </w:pPr>
          </w:p>
        </w:tc>
        <w:tc>
          <w:tcPr>
            <w:tcW w:w="1938"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Na</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-EDTA</w:t>
            </w:r>
          </w:p>
        </w:tc>
        <w:tc>
          <w:tcPr>
            <w:tcW w:w="132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sz w:val="24"/>
              </w:rPr>
            </w:pPr>
            <w:r>
              <w:rPr>
                <w:rFonts w:ascii="仿宋_GB2312" w:eastAsia="仿宋_GB2312" w:hAnsi="仿宋_GB2312" w:cs="仿宋_GB2312" w:hint="eastAsia"/>
                <w:bCs/>
                <w:sz w:val="24"/>
              </w:rPr>
              <w:t>18.6</w:t>
            </w:r>
          </w:p>
        </w:tc>
        <w:tc>
          <w:tcPr>
            <w:tcW w:w="756" w:type="dxa"/>
            <w:vMerge/>
            <w:tcBorders>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971" w:type="dxa"/>
            <w:vMerge/>
            <w:tcBorders>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sz w:val="24"/>
              </w:rPr>
            </w:pPr>
          </w:p>
        </w:tc>
        <w:tc>
          <w:tcPr>
            <w:tcW w:w="1062" w:type="dxa"/>
            <w:tcBorders>
              <w:top w:val="single" w:sz="4" w:space="0" w:color="auto"/>
              <w:left w:val="single" w:sz="4" w:space="0" w:color="auto"/>
              <w:bottom w:val="single" w:sz="4" w:space="0" w:color="auto"/>
              <w:right w:val="single" w:sz="4" w:space="0" w:color="auto"/>
            </w:tcBorders>
          </w:tcPr>
          <w:p w:rsidR="00327381" w:rsidRDefault="00327381">
            <w:pPr>
              <w:spacing w:line="580" w:lineRule="atLeast"/>
              <w:jc w:val="center"/>
              <w:rPr>
                <w:rFonts w:ascii="仿宋_GB2312" w:eastAsia="仿宋_GB2312" w:hAnsi="仿宋_GB2312" w:cs="仿宋_GB2312"/>
                <w:bCs/>
                <w:sz w:val="24"/>
              </w:rPr>
            </w:pPr>
          </w:p>
        </w:tc>
      </w:tr>
    </w:tbl>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2.工作液配制。根据试题上给出的工作液配制剂量，计算出理论上需要母液的量，并将计算结果填入对应试题空格中，选择适量规格的移液管量取A、B、C各浓缩母液的量在1000ml的烧杯中进行工作液的稀释和定</w:t>
      </w:r>
      <w:r>
        <w:rPr>
          <w:rFonts w:ascii="仿宋_GB2312" w:eastAsia="仿宋_GB2312" w:hAnsi="仿宋_GB2312" w:cs="仿宋_GB2312" w:hint="eastAsia"/>
          <w:color w:val="000000"/>
          <w:sz w:val="28"/>
          <w:szCs w:val="28"/>
        </w:rPr>
        <w:lastRenderedPageBreak/>
        <w:t>容,见表2。</w:t>
      </w:r>
    </w:p>
    <w:p w:rsidR="00327381" w:rsidRDefault="00AA637F">
      <w:pPr>
        <w:spacing w:line="580" w:lineRule="atLeast"/>
        <w:jc w:val="center"/>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表2 工作液配制</w:t>
      </w:r>
    </w:p>
    <w:tbl>
      <w:tblPr>
        <w:tblW w:w="8619" w:type="dxa"/>
        <w:jc w:val="center"/>
        <w:tblLayout w:type="fixed"/>
        <w:tblLook w:val="04A0"/>
      </w:tblPr>
      <w:tblGrid>
        <w:gridCol w:w="1621"/>
        <w:gridCol w:w="2652"/>
        <w:gridCol w:w="1271"/>
        <w:gridCol w:w="1559"/>
        <w:gridCol w:w="1516"/>
      </w:tblGrid>
      <w:tr w:rsidR="00327381">
        <w:trPr>
          <w:trHeight w:val="513"/>
          <w:jc w:val="center"/>
        </w:trPr>
        <w:tc>
          <w:tcPr>
            <w:tcW w:w="1621"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w:t>
            </w:r>
          </w:p>
        </w:tc>
        <w:tc>
          <w:tcPr>
            <w:tcW w:w="265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配制工作液量（ml）</w:t>
            </w:r>
          </w:p>
        </w:tc>
        <w:tc>
          <w:tcPr>
            <w:tcW w:w="127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配制剂量</w:t>
            </w:r>
          </w:p>
        </w:tc>
        <w:tc>
          <w:tcPr>
            <w:tcW w:w="1559"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理论移取</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母液量(ml)</w:t>
            </w:r>
          </w:p>
        </w:tc>
        <w:tc>
          <w:tcPr>
            <w:tcW w:w="1516"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实际移取</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母液量(ml)</w:t>
            </w:r>
          </w:p>
        </w:tc>
      </w:tr>
      <w:tr w:rsidR="00327381">
        <w:trPr>
          <w:trHeight w:val="454"/>
          <w:jc w:val="center"/>
        </w:trPr>
        <w:tc>
          <w:tcPr>
            <w:tcW w:w="1621"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A液</w:t>
            </w:r>
          </w:p>
        </w:tc>
        <w:tc>
          <w:tcPr>
            <w:tcW w:w="2652" w:type="dxa"/>
            <w:vMerge w:val="restart"/>
            <w:tcBorders>
              <w:top w:val="single" w:sz="4" w:space="0" w:color="auto"/>
              <w:left w:val="nil"/>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1000</w:t>
            </w:r>
          </w:p>
        </w:tc>
        <w:tc>
          <w:tcPr>
            <w:tcW w:w="1271"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559"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516"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r>
      <w:tr w:rsidR="00327381">
        <w:trPr>
          <w:trHeight w:val="454"/>
          <w:jc w:val="center"/>
        </w:trPr>
        <w:tc>
          <w:tcPr>
            <w:tcW w:w="1621"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B液</w:t>
            </w:r>
          </w:p>
        </w:tc>
        <w:tc>
          <w:tcPr>
            <w:tcW w:w="2652" w:type="dxa"/>
            <w:vMerge/>
            <w:tcBorders>
              <w:left w:val="nil"/>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559"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516"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r>
      <w:tr w:rsidR="00327381">
        <w:trPr>
          <w:trHeight w:val="454"/>
          <w:jc w:val="center"/>
        </w:trPr>
        <w:tc>
          <w:tcPr>
            <w:tcW w:w="1621"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C液</w:t>
            </w:r>
          </w:p>
        </w:tc>
        <w:tc>
          <w:tcPr>
            <w:tcW w:w="2652" w:type="dxa"/>
            <w:vMerge/>
            <w:tcBorders>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559"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516" w:type="dxa"/>
            <w:tcBorders>
              <w:top w:val="single" w:sz="4" w:space="0" w:color="auto"/>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r>
    </w:tbl>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（二）嫁接操作</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1.</w:t>
      </w:r>
      <w:r w:rsidR="00B854E4">
        <w:rPr>
          <w:rFonts w:ascii="仿宋_GB2312" w:eastAsia="仿宋_GB2312" w:hAnsi="仿宋_GB2312" w:cs="仿宋_GB2312" w:hint="eastAsia"/>
          <w:color w:val="000000"/>
          <w:sz w:val="28"/>
          <w:szCs w:val="28"/>
        </w:rPr>
        <w:t>比赛</w:t>
      </w:r>
      <w:r>
        <w:rPr>
          <w:rFonts w:ascii="仿宋_GB2312" w:eastAsia="仿宋_GB2312" w:hAnsi="仿宋_GB2312" w:cs="仿宋_GB2312" w:hint="eastAsia"/>
          <w:color w:val="000000"/>
          <w:sz w:val="28"/>
          <w:szCs w:val="28"/>
        </w:rPr>
        <w:t>时间。在规定的40分钟时间内，统筹完成西瓜劈接、黄瓜顶端插接操作。</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砧穗选择。按照西瓜劈接适期要求，从提供的葫芦砧木穴盘苗中选出第一片真叶初现的葫芦砧木穴盘苗；从切下来的西瓜接穗苗中挑选出子叶半展至平展的西瓜接穗苗。按照黄瓜顶端插接适期要求，从提供的南瓜砧木穴盘中挑选第一片真叶展开，第二片真叶显露的南瓜砧木穴盘苗；挑选出子叶半展至平展的黄瓜接穗苗。</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3.工具消毒。操作人员手、嫁接刀、嫁接竹签等嫁接工具需在西瓜劈接、黄瓜顶端插接前用棉球蘸75%的酒精消毒。</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4.去生长点。用嫁接竹签、嫁接刀片等工具剔除砧木生长点和真叶，剔除干净。</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5.劈（插）砧木。西瓜劈接时，用刀片沿葫芦双子叶内侧方向沿轴心方向向下纵劈1-1.5cm，下胚轴外侧不劈开，宽不小于接穗横径。黄瓜顶</w:t>
      </w:r>
      <w:r>
        <w:rPr>
          <w:rFonts w:ascii="仿宋_GB2312" w:eastAsia="仿宋_GB2312" w:hAnsi="仿宋_GB2312" w:cs="仿宋_GB2312" w:hint="eastAsia"/>
          <w:color w:val="000000"/>
          <w:sz w:val="28"/>
          <w:szCs w:val="28"/>
        </w:rPr>
        <w:lastRenderedPageBreak/>
        <w:t>端插接时，竹签紧贴南瓜子叶的叶柄中脉基部向另一子叶的叶柄基部成30～45°斜插，插孔深约0.7㎝，竹签即将穿透砧木苗表皮，手指有触感为宜，竹签暂不拔出。</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6.削接穗。西瓜劈接时，在西瓜子叶下方0.5-1㎝处将接穗下胚轴削成双面楔形，削面长度和砧木切口深度相对应，长度控制在1-1.5cm，楔形面平滑无污染。黄瓜顶端插接时，在黄瓜接穗子叶基部约0.5㎝处沿两子叶平行的方向向下胚轴方向斜切0.5-0.6㎝的平滑单楔面或双楔面，角度约为30°，切面平滑无污染。</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7.结合固定。西瓜劈接时，将西瓜接穗楔面全部插入切口，使楔面一侧与砧木外表皮处于同一平面，用嫁接夹沿垂直子叶方向从下胚轴未劈开一侧夹住接穗，使嫁接夹开口朝向劈开一侧。黄瓜顶端插接，拔出砧木上的竹签，迅速将切好的黄瓜接穗迅速准确地插入砧木插孔内，使接穗与砧木紧密结合，接穗斜面与砧木斜面紧靠在一起，嫁接苗的四片子叶呈“十”字交叉。</w:t>
      </w:r>
    </w:p>
    <w:p w:rsidR="00327381" w:rsidRDefault="00AA637F">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8.整理。在穴盘一顶端贴上便签（注明工位号、日期），所用工具摆放原处，嫁接苗摆放整齐放在指定位置，嫁接苗喷雾保湿，清理桌面。</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hint="eastAsia"/>
          <w:sz w:val="28"/>
          <w:szCs w:val="28"/>
        </w:rPr>
        <w:t>（一）</w:t>
      </w:r>
      <w:r w:rsidR="00B854E4">
        <w:rPr>
          <w:rFonts w:ascii="仿宋_GB2312" w:eastAsia="仿宋_GB2312" w:hAnsi="仿宋" w:hint="eastAsia"/>
          <w:sz w:val="28"/>
          <w:szCs w:val="28"/>
        </w:rPr>
        <w:t>比赛</w:t>
      </w:r>
      <w:r>
        <w:rPr>
          <w:rFonts w:ascii="仿宋_GB2312" w:eastAsia="仿宋_GB2312" w:hAnsi="仿宋" w:hint="eastAsia"/>
          <w:sz w:val="28"/>
          <w:szCs w:val="28"/>
        </w:rPr>
        <w:t>以个人方式进行。</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sz w:val="28"/>
          <w:szCs w:val="28"/>
        </w:rPr>
        <w:t xml:space="preserve"> (</w:t>
      </w:r>
      <w:r>
        <w:rPr>
          <w:rFonts w:ascii="仿宋_GB2312" w:eastAsia="仿宋_GB2312" w:hAnsi="仿宋" w:hint="eastAsia"/>
          <w:sz w:val="28"/>
          <w:szCs w:val="28"/>
        </w:rPr>
        <w:t>二</w:t>
      </w:r>
      <w:r>
        <w:rPr>
          <w:rFonts w:ascii="仿宋_GB2312" w:eastAsia="仿宋_GB2312" w:hAnsi="仿宋"/>
          <w:sz w:val="28"/>
          <w:szCs w:val="28"/>
        </w:rPr>
        <w:t>)</w:t>
      </w:r>
      <w:r>
        <w:rPr>
          <w:rFonts w:ascii="仿宋_GB2312" w:eastAsia="仿宋_GB2312" w:hAnsi="仿宋" w:hint="eastAsia"/>
          <w:sz w:val="28"/>
          <w:szCs w:val="28"/>
        </w:rPr>
        <w:t>组队及报名</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sz w:val="28"/>
          <w:szCs w:val="28"/>
        </w:rPr>
        <w:t>1.</w:t>
      </w:r>
      <w:r>
        <w:rPr>
          <w:rFonts w:ascii="仿宋_GB2312" w:eastAsia="仿宋_GB2312" w:hAnsi="仿宋" w:hint="eastAsia"/>
          <w:sz w:val="28"/>
          <w:szCs w:val="28"/>
        </w:rPr>
        <w:t>参赛教师选手以学校为单位组队报名，并上报大赛办。</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sz w:val="28"/>
          <w:szCs w:val="28"/>
        </w:rPr>
        <w:lastRenderedPageBreak/>
        <w:t>2.</w:t>
      </w:r>
      <w:r>
        <w:rPr>
          <w:rFonts w:ascii="仿宋_GB2312" w:eastAsia="仿宋_GB2312" w:hAnsi="仿宋" w:hint="eastAsia"/>
          <w:sz w:val="28"/>
          <w:szCs w:val="28"/>
        </w:rPr>
        <w:t>教师参赛选手年龄不限，每个赛项报</w:t>
      </w:r>
      <w:r>
        <w:rPr>
          <w:rFonts w:ascii="仿宋_GB2312" w:eastAsia="仿宋_GB2312" w:hAnsi="仿宋"/>
          <w:sz w:val="28"/>
          <w:szCs w:val="28"/>
        </w:rPr>
        <w:t>3</w:t>
      </w:r>
      <w:r>
        <w:rPr>
          <w:rFonts w:ascii="仿宋_GB2312" w:eastAsia="仿宋_GB2312" w:hAnsi="仿宋" w:hint="eastAsia"/>
          <w:sz w:val="28"/>
          <w:szCs w:val="28"/>
        </w:rPr>
        <w:t>人。</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sz w:val="28"/>
          <w:szCs w:val="28"/>
        </w:rPr>
        <w:t>3.</w:t>
      </w:r>
      <w:r>
        <w:rPr>
          <w:rFonts w:ascii="仿宋_GB2312" w:eastAsia="仿宋_GB2312" w:hAnsi="仿宋" w:hint="eastAsia"/>
          <w:sz w:val="28"/>
          <w:szCs w:val="28"/>
        </w:rPr>
        <w:t>人员变更：参赛选手和指导教师报名获得确认后不得随意更换。如备赛过程中参赛选手和指导教师因故无法参赛，经大赛办公室核实后予以更换，</w:t>
      </w:r>
      <w:r w:rsidR="00B854E4">
        <w:rPr>
          <w:rFonts w:ascii="仿宋_GB2312" w:eastAsia="仿宋_GB2312" w:hAnsi="仿宋" w:hint="eastAsia"/>
          <w:sz w:val="28"/>
          <w:szCs w:val="28"/>
        </w:rPr>
        <w:t>比赛</w:t>
      </w:r>
      <w:r>
        <w:rPr>
          <w:rFonts w:ascii="仿宋_GB2312" w:eastAsia="仿宋_GB2312" w:hAnsi="仿宋" w:hint="eastAsia"/>
          <w:sz w:val="28"/>
          <w:szCs w:val="28"/>
        </w:rPr>
        <w:t>开始后，参赛队不得更换参赛选手，否则视为自动放弃</w:t>
      </w:r>
      <w:r w:rsidR="00B854E4">
        <w:rPr>
          <w:rFonts w:ascii="仿宋_GB2312" w:eastAsia="仿宋_GB2312" w:hAnsi="仿宋" w:hint="eastAsia"/>
          <w:sz w:val="28"/>
          <w:szCs w:val="28"/>
        </w:rPr>
        <w:t>比赛</w:t>
      </w:r>
      <w:r>
        <w:rPr>
          <w:rFonts w:ascii="仿宋_GB2312" w:eastAsia="仿宋_GB2312" w:hAnsi="仿宋" w:hint="eastAsia"/>
          <w:sz w:val="28"/>
          <w:szCs w:val="28"/>
        </w:rPr>
        <w:t>。</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sz w:val="28"/>
          <w:szCs w:val="28"/>
        </w:rPr>
        <w:t>4.</w:t>
      </w:r>
      <w:r>
        <w:rPr>
          <w:rFonts w:ascii="仿宋_GB2312" w:eastAsia="仿宋_GB2312" w:hAnsi="仿宋" w:hint="eastAsia"/>
          <w:sz w:val="28"/>
          <w:szCs w:val="28"/>
        </w:rPr>
        <w:t>赛项实行网上报名，详见报名通知。</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327381" w:rsidRDefault="0002059F">
      <w:pPr>
        <w:spacing w:line="580" w:lineRule="atLeast"/>
        <w:ind w:firstLineChars="150" w:firstLine="420"/>
        <w:rPr>
          <w:rFonts w:ascii="仿宋_GB2312" w:eastAsia="仿宋_GB2312" w:hAnsi="仿宋"/>
          <w:sz w:val="28"/>
          <w:szCs w:val="28"/>
        </w:rPr>
      </w:pPr>
      <w:r>
        <w:rPr>
          <w:rFonts w:ascii="仿宋_GB2312" w:eastAsia="仿宋_GB2312" w:hAnsi="仿宋" w:hint="eastAsia"/>
          <w:sz w:val="28"/>
          <w:szCs w:val="28"/>
        </w:rPr>
        <w:t xml:space="preserve"> </w:t>
      </w:r>
      <w:r w:rsidR="00AA637F">
        <w:rPr>
          <w:rFonts w:ascii="仿宋_GB2312" w:eastAsia="仿宋_GB2312" w:hAnsi="仿宋"/>
          <w:sz w:val="28"/>
          <w:szCs w:val="28"/>
        </w:rPr>
        <w:t>1.</w:t>
      </w:r>
      <w:r w:rsidR="00AA637F">
        <w:rPr>
          <w:rFonts w:ascii="仿宋_GB2312" w:eastAsia="仿宋_GB2312" w:hAnsi="仿宋" w:hint="eastAsia"/>
          <w:sz w:val="28"/>
          <w:szCs w:val="28"/>
        </w:rPr>
        <w:t>报到，熟悉场地。</w:t>
      </w:r>
    </w:p>
    <w:p w:rsidR="00327381" w:rsidRDefault="0002059F">
      <w:pPr>
        <w:spacing w:line="580" w:lineRule="atLeast"/>
        <w:ind w:firstLineChars="150" w:firstLine="420"/>
        <w:rPr>
          <w:rFonts w:ascii="仿宋_GB2312" w:eastAsia="仿宋_GB2312" w:hAnsi="仿宋"/>
          <w:sz w:val="28"/>
          <w:szCs w:val="28"/>
        </w:rPr>
      </w:pPr>
      <w:r>
        <w:rPr>
          <w:rFonts w:ascii="仿宋_GB2312" w:eastAsia="仿宋_GB2312" w:hAnsi="仿宋" w:hint="eastAsia"/>
          <w:sz w:val="28"/>
          <w:szCs w:val="28"/>
        </w:rPr>
        <w:t xml:space="preserve"> </w:t>
      </w:r>
      <w:r w:rsidR="00AA637F">
        <w:rPr>
          <w:rFonts w:ascii="仿宋_GB2312" w:eastAsia="仿宋_GB2312" w:hAnsi="仿宋"/>
          <w:sz w:val="28"/>
          <w:szCs w:val="28"/>
        </w:rPr>
        <w:t>2.</w:t>
      </w:r>
      <w:r w:rsidR="00AA637F">
        <w:rPr>
          <w:rFonts w:ascii="仿宋_GB2312" w:eastAsia="仿宋_GB2312" w:hAnsi="仿宋" w:hint="eastAsia"/>
          <w:sz w:val="28"/>
          <w:szCs w:val="28"/>
        </w:rPr>
        <w:t>领队会。</w:t>
      </w:r>
    </w:p>
    <w:p w:rsidR="00327381" w:rsidRDefault="0002059F">
      <w:pPr>
        <w:spacing w:line="580" w:lineRule="atLeast"/>
        <w:ind w:firstLineChars="150" w:firstLine="420"/>
        <w:rPr>
          <w:rFonts w:ascii="仿宋_GB2312" w:eastAsia="仿宋_GB2312" w:hAnsi="仿宋"/>
          <w:sz w:val="28"/>
          <w:szCs w:val="28"/>
        </w:rPr>
      </w:pPr>
      <w:r>
        <w:rPr>
          <w:rFonts w:ascii="仿宋_GB2312" w:eastAsia="仿宋_GB2312" w:hAnsi="仿宋" w:hint="eastAsia"/>
          <w:sz w:val="28"/>
          <w:szCs w:val="28"/>
        </w:rPr>
        <w:t xml:space="preserve"> </w:t>
      </w:r>
      <w:r w:rsidR="00AA637F">
        <w:rPr>
          <w:rFonts w:ascii="仿宋_GB2312" w:eastAsia="仿宋_GB2312" w:hAnsi="仿宋"/>
          <w:sz w:val="28"/>
          <w:szCs w:val="28"/>
        </w:rPr>
        <w:t>3.</w:t>
      </w:r>
      <w:r w:rsidR="00AA637F">
        <w:rPr>
          <w:rFonts w:ascii="仿宋_GB2312" w:eastAsia="仿宋_GB2312" w:hAnsi="仿宋" w:hint="eastAsia"/>
          <w:sz w:val="28"/>
          <w:szCs w:val="28"/>
        </w:rPr>
        <w:t>选手检录，并抽签决定比赛工位号。</w:t>
      </w:r>
    </w:p>
    <w:p w:rsidR="00327381" w:rsidRDefault="0002059F">
      <w:pPr>
        <w:spacing w:line="580" w:lineRule="atLeast"/>
        <w:ind w:firstLineChars="150" w:firstLine="420"/>
        <w:rPr>
          <w:rFonts w:ascii="仿宋_GB2312" w:eastAsia="仿宋_GB2312" w:hAnsi="仿宋"/>
          <w:sz w:val="28"/>
          <w:szCs w:val="28"/>
        </w:rPr>
      </w:pPr>
      <w:r>
        <w:rPr>
          <w:rFonts w:ascii="仿宋_GB2312" w:eastAsia="仿宋_GB2312" w:hAnsi="仿宋" w:hint="eastAsia"/>
          <w:sz w:val="28"/>
          <w:szCs w:val="28"/>
        </w:rPr>
        <w:t xml:space="preserve"> </w:t>
      </w:r>
      <w:r w:rsidR="00AA637F">
        <w:rPr>
          <w:rFonts w:ascii="仿宋_GB2312" w:eastAsia="仿宋_GB2312" w:hAnsi="仿宋"/>
          <w:sz w:val="28"/>
          <w:szCs w:val="28"/>
        </w:rPr>
        <w:t>4.</w:t>
      </w:r>
      <w:r w:rsidR="00AA637F">
        <w:rPr>
          <w:rFonts w:ascii="仿宋_GB2312" w:eastAsia="仿宋_GB2312" w:hAnsi="仿宋" w:hint="eastAsia"/>
          <w:sz w:val="28"/>
          <w:szCs w:val="28"/>
        </w:rPr>
        <w:t>选手进入技能比赛场，并按工位号就位，检查工具及备品。</w:t>
      </w:r>
    </w:p>
    <w:p w:rsidR="00327381" w:rsidRDefault="0002059F">
      <w:pPr>
        <w:spacing w:line="580" w:lineRule="atLeast"/>
        <w:ind w:firstLineChars="150" w:firstLine="420"/>
        <w:rPr>
          <w:rFonts w:ascii="仿宋_GB2312" w:eastAsia="仿宋_GB2312" w:hAnsi="仿宋"/>
          <w:sz w:val="28"/>
          <w:szCs w:val="28"/>
        </w:rPr>
      </w:pPr>
      <w:r>
        <w:rPr>
          <w:rFonts w:ascii="仿宋_GB2312" w:eastAsia="仿宋_GB2312" w:hAnsi="仿宋" w:hint="eastAsia"/>
          <w:sz w:val="28"/>
          <w:szCs w:val="28"/>
        </w:rPr>
        <w:t xml:space="preserve"> </w:t>
      </w:r>
      <w:r w:rsidR="00AA637F">
        <w:rPr>
          <w:rFonts w:ascii="仿宋_GB2312" w:eastAsia="仿宋_GB2312" w:hAnsi="仿宋"/>
          <w:sz w:val="28"/>
          <w:szCs w:val="28"/>
        </w:rPr>
        <w:t>5.</w:t>
      </w:r>
      <w:r w:rsidR="00AA637F">
        <w:rPr>
          <w:rFonts w:ascii="仿宋_GB2312" w:eastAsia="仿宋_GB2312" w:hAnsi="仿宋" w:hint="eastAsia"/>
          <w:sz w:val="28"/>
          <w:szCs w:val="28"/>
        </w:rPr>
        <w:t>技能裁判组成员进入技能比赛场。</w:t>
      </w:r>
    </w:p>
    <w:p w:rsidR="00327381" w:rsidRDefault="00AA637F">
      <w:pPr>
        <w:spacing w:line="580" w:lineRule="atLeast"/>
        <w:ind w:leftChars="266" w:left="559"/>
        <w:rPr>
          <w:rFonts w:ascii="仿宋_GB2312" w:eastAsia="仿宋_GB2312" w:hAnsi="仿宋"/>
          <w:sz w:val="28"/>
          <w:szCs w:val="28"/>
        </w:rPr>
      </w:pPr>
      <w:r>
        <w:rPr>
          <w:rFonts w:ascii="仿宋_GB2312" w:eastAsia="仿宋_GB2312" w:hAnsi="仿宋" w:hint="eastAsia"/>
          <w:sz w:val="28"/>
          <w:szCs w:val="28"/>
        </w:rPr>
        <w:t>6.技能比赛按照嫁接的规范和要求，在规定时间内完成</w:t>
      </w:r>
      <w:r>
        <w:rPr>
          <w:rFonts w:ascii="仿宋_GB2312" w:eastAsia="仿宋_GB2312" w:hAnsi="仿宋_GB2312" w:cs="仿宋_GB2312" w:hint="eastAsia"/>
          <w:color w:val="000000"/>
          <w:sz w:val="28"/>
          <w:szCs w:val="28"/>
        </w:rPr>
        <w:t>营养液配制60分钟、嫁接操作40分钟，完成</w:t>
      </w:r>
      <w:r>
        <w:rPr>
          <w:rFonts w:ascii="仿宋_GB2312" w:eastAsia="仿宋_GB2312" w:hAnsi="仿宋" w:hint="eastAsia"/>
          <w:sz w:val="28"/>
          <w:szCs w:val="28"/>
        </w:rPr>
        <w:t xml:space="preserve">两个分项赛项后，方可离开赛场。                 </w:t>
      </w:r>
    </w:p>
    <w:p w:rsidR="0002059F" w:rsidRDefault="00AA637F" w:rsidP="0002059F">
      <w:pPr>
        <w:spacing w:line="580" w:lineRule="atLeast"/>
        <w:ind w:leftChars="266" w:left="559"/>
        <w:rPr>
          <w:rFonts w:ascii="仿宋_GB2312" w:eastAsia="仿宋_GB2312" w:hAnsi="仿宋"/>
          <w:sz w:val="28"/>
          <w:szCs w:val="28"/>
        </w:rPr>
      </w:pPr>
      <w:r>
        <w:rPr>
          <w:rFonts w:ascii="仿宋_GB2312" w:eastAsia="仿宋_GB2312" w:hAnsi="仿宋" w:hint="eastAsia"/>
          <w:sz w:val="28"/>
          <w:szCs w:val="28"/>
        </w:rPr>
        <w:t>7.技术点评与成绩公布</w:t>
      </w:r>
    </w:p>
    <w:p w:rsidR="00327381" w:rsidRDefault="00AA637F" w:rsidP="0002059F">
      <w:pPr>
        <w:spacing w:line="580" w:lineRule="atLeast"/>
        <w:ind w:leftChars="266" w:left="559"/>
        <w:rPr>
          <w:rFonts w:ascii="仿宋_GB2312" w:eastAsia="仿宋_GB2312" w:hAnsi="仿宋"/>
          <w:sz w:val="28"/>
          <w:szCs w:val="28"/>
        </w:rPr>
      </w:pPr>
      <w:r>
        <w:rPr>
          <w:rFonts w:ascii="仿宋_GB2312" w:eastAsia="仿宋_GB2312" w:hAnsi="仿宋" w:hint="eastAsia"/>
          <w:sz w:val="28"/>
          <w:szCs w:val="28"/>
        </w:rPr>
        <w:t>8.</w:t>
      </w:r>
      <w:r w:rsidR="00B854E4">
        <w:rPr>
          <w:rFonts w:ascii="仿宋_GB2312" w:eastAsia="仿宋_GB2312" w:hAnsi="仿宋" w:hint="eastAsia"/>
          <w:sz w:val="28"/>
          <w:szCs w:val="28"/>
        </w:rPr>
        <w:t>比赛</w:t>
      </w:r>
      <w:r>
        <w:rPr>
          <w:rFonts w:ascii="仿宋_GB2312" w:eastAsia="仿宋_GB2312" w:hAnsi="仿宋" w:hint="eastAsia"/>
          <w:sz w:val="28"/>
          <w:szCs w:val="28"/>
        </w:rPr>
        <w:t>时间安排</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 w:hint="eastAsia"/>
          <w:sz w:val="28"/>
          <w:szCs w:val="28"/>
        </w:rPr>
        <w:t>比赛时间：具体日程安排见赛项实施方案</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327381" w:rsidRDefault="00B854E4">
      <w:pPr>
        <w:spacing w:line="580" w:lineRule="atLeas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sz w:val="28"/>
          <w:szCs w:val="28"/>
        </w:rPr>
        <w:t>比赛</w:t>
      </w:r>
      <w:r w:rsidR="00AA637F">
        <w:rPr>
          <w:rFonts w:ascii="仿宋_GB2312" w:eastAsia="仿宋_GB2312" w:hAnsi="仿宋_GB2312" w:cs="仿宋_GB2312" w:hint="eastAsia"/>
          <w:sz w:val="28"/>
          <w:szCs w:val="28"/>
        </w:rPr>
        <w:t>赛卷包括</w:t>
      </w:r>
      <w:r w:rsidR="00AA637F">
        <w:rPr>
          <w:rFonts w:ascii="仿宋_GB2312" w:eastAsia="仿宋_GB2312" w:hAnsi="仿宋_GB2312" w:cs="仿宋_GB2312" w:hint="eastAsia"/>
          <w:color w:val="000000"/>
          <w:sz w:val="28"/>
          <w:szCs w:val="28"/>
        </w:rPr>
        <w:t>母液配制所需化合物计算和称量、工作液配制所需母液量计算和移取，</w:t>
      </w:r>
      <w:r w:rsidR="00AA637F">
        <w:rPr>
          <w:rFonts w:ascii="仿宋_GB2312" w:eastAsia="仿宋_GB2312" w:hAnsi="仿宋_GB2312" w:cs="仿宋_GB2312" w:hint="eastAsia"/>
          <w:sz w:val="28"/>
          <w:szCs w:val="28"/>
        </w:rPr>
        <w:t xml:space="preserve">比赛当天由专家组从3套试题库中现场抽取，样卷见表3、4。 </w:t>
      </w:r>
    </w:p>
    <w:p w:rsidR="00327381" w:rsidRDefault="00AA637F">
      <w:pPr>
        <w:spacing w:line="580" w:lineRule="atLeast"/>
        <w:jc w:val="center"/>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lastRenderedPageBreak/>
        <w:t>表3母液配制样卷</w:t>
      </w:r>
    </w:p>
    <w:tbl>
      <w:tblPr>
        <w:tblW w:w="8561" w:type="dxa"/>
        <w:jc w:val="center"/>
        <w:tblLayout w:type="fixed"/>
        <w:tblLook w:val="04A0"/>
      </w:tblPr>
      <w:tblGrid>
        <w:gridCol w:w="1615"/>
        <w:gridCol w:w="2057"/>
        <w:gridCol w:w="1202"/>
        <w:gridCol w:w="756"/>
        <w:gridCol w:w="971"/>
        <w:gridCol w:w="898"/>
        <w:gridCol w:w="1062"/>
      </w:tblGrid>
      <w:tr w:rsidR="00327381">
        <w:trPr>
          <w:trHeight w:val="219"/>
          <w:jc w:val="center"/>
        </w:trPr>
        <w:tc>
          <w:tcPr>
            <w:tcW w:w="1615"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w:t>
            </w:r>
          </w:p>
        </w:tc>
        <w:tc>
          <w:tcPr>
            <w:tcW w:w="2057"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成份</w:t>
            </w:r>
          </w:p>
        </w:tc>
        <w:tc>
          <w:tcPr>
            <w:tcW w:w="120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标准用量(mg/L)</w:t>
            </w:r>
          </w:p>
        </w:tc>
        <w:tc>
          <w:tcPr>
            <w:tcW w:w="756"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浓缩倍数</w:t>
            </w:r>
          </w:p>
        </w:tc>
        <w:tc>
          <w:tcPr>
            <w:tcW w:w="97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配制母液体积(ml)</w:t>
            </w:r>
          </w:p>
        </w:tc>
        <w:tc>
          <w:tcPr>
            <w:tcW w:w="898"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理论计算值(g)</w:t>
            </w:r>
          </w:p>
        </w:tc>
        <w:tc>
          <w:tcPr>
            <w:tcW w:w="1062"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实际称取值(g)</w:t>
            </w:r>
          </w:p>
        </w:tc>
      </w:tr>
      <w:tr w:rsidR="00327381">
        <w:trPr>
          <w:trHeight w:val="454"/>
          <w:jc w:val="center"/>
        </w:trPr>
        <w:tc>
          <w:tcPr>
            <w:tcW w:w="1615"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A液</w:t>
            </w:r>
          </w:p>
        </w:tc>
        <w:tc>
          <w:tcPr>
            <w:tcW w:w="2057"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Ca(NO3)2﹒4H2O</w:t>
            </w:r>
          </w:p>
        </w:tc>
        <w:tc>
          <w:tcPr>
            <w:tcW w:w="120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945</w:t>
            </w:r>
          </w:p>
        </w:tc>
        <w:tc>
          <w:tcPr>
            <w:tcW w:w="756"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97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898"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9.45</w:t>
            </w:r>
          </w:p>
        </w:tc>
        <w:tc>
          <w:tcPr>
            <w:tcW w:w="1062"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9.45</w:t>
            </w:r>
          </w:p>
        </w:tc>
      </w:tr>
      <w:tr w:rsidR="00327381">
        <w:trPr>
          <w:trHeight w:val="454"/>
          <w:jc w:val="center"/>
        </w:trPr>
        <w:tc>
          <w:tcPr>
            <w:tcW w:w="1615"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B液</w:t>
            </w:r>
          </w:p>
        </w:tc>
        <w:tc>
          <w:tcPr>
            <w:tcW w:w="2057"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NH4H2PO4</w:t>
            </w:r>
          </w:p>
        </w:tc>
        <w:tc>
          <w:tcPr>
            <w:tcW w:w="120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153</w:t>
            </w:r>
          </w:p>
        </w:tc>
        <w:tc>
          <w:tcPr>
            <w:tcW w:w="756"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971"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898"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1.53</w:t>
            </w:r>
          </w:p>
        </w:tc>
        <w:tc>
          <w:tcPr>
            <w:tcW w:w="1062"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1.53</w:t>
            </w:r>
          </w:p>
        </w:tc>
      </w:tr>
      <w:tr w:rsidR="00327381">
        <w:trPr>
          <w:trHeight w:val="454"/>
          <w:jc w:val="center"/>
        </w:trPr>
        <w:tc>
          <w:tcPr>
            <w:tcW w:w="1615" w:type="dxa"/>
            <w:vMerge w:val="restart"/>
            <w:tcBorders>
              <w:top w:val="single" w:sz="4" w:space="0" w:color="auto"/>
              <w:left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C液</w:t>
            </w:r>
          </w:p>
        </w:tc>
        <w:tc>
          <w:tcPr>
            <w:tcW w:w="2057"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FeSO4﹒7H2O</w:t>
            </w:r>
          </w:p>
        </w:tc>
        <w:tc>
          <w:tcPr>
            <w:tcW w:w="120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13.9</w:t>
            </w:r>
          </w:p>
        </w:tc>
        <w:tc>
          <w:tcPr>
            <w:tcW w:w="756" w:type="dxa"/>
            <w:vMerge w:val="restart"/>
            <w:tcBorders>
              <w:top w:val="single" w:sz="4" w:space="0" w:color="auto"/>
              <w:left w:val="nil"/>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971" w:type="dxa"/>
            <w:vMerge w:val="restart"/>
            <w:tcBorders>
              <w:top w:val="single" w:sz="4" w:space="0" w:color="auto"/>
              <w:left w:val="nil"/>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898"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0.1390</w:t>
            </w:r>
          </w:p>
        </w:tc>
        <w:tc>
          <w:tcPr>
            <w:tcW w:w="1062"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0.1390</w:t>
            </w:r>
          </w:p>
        </w:tc>
      </w:tr>
      <w:tr w:rsidR="00327381">
        <w:trPr>
          <w:trHeight w:val="454"/>
          <w:jc w:val="center"/>
        </w:trPr>
        <w:tc>
          <w:tcPr>
            <w:tcW w:w="1615" w:type="dxa"/>
            <w:vMerge/>
            <w:tcBorders>
              <w:left w:val="single" w:sz="4" w:space="0" w:color="auto"/>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2057"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Na2-EDTA</w:t>
            </w:r>
          </w:p>
        </w:tc>
        <w:tc>
          <w:tcPr>
            <w:tcW w:w="120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18.6</w:t>
            </w:r>
          </w:p>
        </w:tc>
        <w:tc>
          <w:tcPr>
            <w:tcW w:w="756" w:type="dxa"/>
            <w:vMerge/>
            <w:tcBorders>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971" w:type="dxa"/>
            <w:vMerge/>
            <w:tcBorders>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0.1860</w:t>
            </w:r>
          </w:p>
        </w:tc>
        <w:tc>
          <w:tcPr>
            <w:tcW w:w="1062"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0.1860</w:t>
            </w:r>
          </w:p>
        </w:tc>
      </w:tr>
    </w:tbl>
    <w:p w:rsidR="00327381" w:rsidRDefault="00327381">
      <w:pPr>
        <w:spacing w:line="580" w:lineRule="atLeast"/>
        <w:jc w:val="center"/>
        <w:rPr>
          <w:rFonts w:ascii="仿宋_GB2312" w:eastAsia="仿宋_GB2312" w:hAnsi="仿宋_GB2312" w:cs="仿宋_GB2312"/>
          <w:b/>
          <w:color w:val="000000"/>
          <w:sz w:val="28"/>
          <w:szCs w:val="28"/>
        </w:rPr>
      </w:pPr>
    </w:p>
    <w:p w:rsidR="00327381" w:rsidRDefault="00AA637F">
      <w:pPr>
        <w:spacing w:line="580" w:lineRule="atLeast"/>
        <w:jc w:val="center"/>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表4 工作液配制样卷</w:t>
      </w:r>
    </w:p>
    <w:tbl>
      <w:tblPr>
        <w:tblW w:w="8603" w:type="dxa"/>
        <w:jc w:val="center"/>
        <w:tblLayout w:type="fixed"/>
        <w:tblLook w:val="04A0"/>
      </w:tblPr>
      <w:tblGrid>
        <w:gridCol w:w="1618"/>
        <w:gridCol w:w="2647"/>
        <w:gridCol w:w="1269"/>
        <w:gridCol w:w="1556"/>
        <w:gridCol w:w="1513"/>
      </w:tblGrid>
      <w:tr w:rsidR="00327381">
        <w:trPr>
          <w:trHeight w:val="431"/>
          <w:jc w:val="center"/>
        </w:trPr>
        <w:tc>
          <w:tcPr>
            <w:tcW w:w="1618"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w:t>
            </w:r>
          </w:p>
        </w:tc>
        <w:tc>
          <w:tcPr>
            <w:tcW w:w="2647"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配制工作液量（ml）</w:t>
            </w:r>
          </w:p>
        </w:tc>
        <w:tc>
          <w:tcPr>
            <w:tcW w:w="1269"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配制剂量</w:t>
            </w:r>
          </w:p>
        </w:tc>
        <w:tc>
          <w:tcPr>
            <w:tcW w:w="1556"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理论移取</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母液量(ml)</w:t>
            </w:r>
          </w:p>
        </w:tc>
        <w:tc>
          <w:tcPr>
            <w:tcW w:w="1513"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实际移取</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母液量(ml)</w:t>
            </w:r>
          </w:p>
        </w:tc>
      </w:tr>
      <w:tr w:rsidR="00327381">
        <w:trPr>
          <w:trHeight w:val="454"/>
          <w:jc w:val="center"/>
        </w:trPr>
        <w:tc>
          <w:tcPr>
            <w:tcW w:w="1618"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A液</w:t>
            </w:r>
          </w:p>
        </w:tc>
        <w:tc>
          <w:tcPr>
            <w:tcW w:w="2647" w:type="dxa"/>
            <w:vMerge w:val="restart"/>
            <w:tcBorders>
              <w:top w:val="single" w:sz="4" w:space="0" w:color="auto"/>
              <w:left w:val="nil"/>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1000</w:t>
            </w:r>
          </w:p>
        </w:tc>
        <w:tc>
          <w:tcPr>
            <w:tcW w:w="1269"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556"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513"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r>
      <w:tr w:rsidR="00327381">
        <w:trPr>
          <w:trHeight w:val="454"/>
          <w:jc w:val="center"/>
        </w:trPr>
        <w:tc>
          <w:tcPr>
            <w:tcW w:w="1618"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B液</w:t>
            </w:r>
          </w:p>
        </w:tc>
        <w:tc>
          <w:tcPr>
            <w:tcW w:w="2647" w:type="dxa"/>
            <w:vMerge/>
            <w:tcBorders>
              <w:left w:val="nil"/>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69"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556"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513"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r>
      <w:tr w:rsidR="00327381">
        <w:trPr>
          <w:trHeight w:val="454"/>
          <w:jc w:val="center"/>
        </w:trPr>
        <w:tc>
          <w:tcPr>
            <w:tcW w:w="1618"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C液</w:t>
            </w:r>
          </w:p>
        </w:tc>
        <w:tc>
          <w:tcPr>
            <w:tcW w:w="2647" w:type="dxa"/>
            <w:vMerge/>
            <w:tcBorders>
              <w:left w:val="nil"/>
              <w:bottom w:val="single" w:sz="4" w:space="0" w:color="auto"/>
              <w:right w:val="single" w:sz="4" w:space="0" w:color="auto"/>
            </w:tcBorders>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69"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556"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513"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r>
    </w:tbl>
    <w:p w:rsidR="00327381" w:rsidRDefault="00AA637F">
      <w:pPr>
        <w:spacing w:line="580" w:lineRule="atLeas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02059F" w:rsidRPr="0002059F">
        <w:rPr>
          <w:rFonts w:ascii="仿宋" w:eastAsia="仿宋" w:hAnsi="仿宋" w:cs="仿宋" w:hint="eastAsia"/>
          <w:sz w:val="28"/>
          <w:szCs w:val="28"/>
        </w:rPr>
        <w:t xml:space="preserve"> </w:t>
      </w:r>
      <w:r w:rsidR="0002059F" w:rsidRPr="00351B43">
        <w:rPr>
          <w:rFonts w:ascii="仿宋" w:eastAsia="仿宋" w:hAnsi="仿宋" w:cs="仿宋" w:hint="eastAsia"/>
          <w:sz w:val="28"/>
          <w:szCs w:val="28"/>
        </w:rPr>
        <w:t>教师组参赛选手为沈阳市各类公办中等职业学校、技工学校在编专任教师</w:t>
      </w:r>
      <w:r w:rsidR="0002059F" w:rsidRPr="00351B43">
        <w:rPr>
          <w:rFonts w:ascii="仿宋" w:eastAsia="仿宋" w:hAnsi="仿宋" w:cs="仿宋"/>
          <w:sz w:val="28"/>
          <w:szCs w:val="28"/>
        </w:rPr>
        <w:t>,</w:t>
      </w:r>
      <w:r w:rsidR="0002059F" w:rsidRPr="00351B43">
        <w:rPr>
          <w:rFonts w:ascii="仿宋" w:eastAsia="仿宋" w:hAnsi="仿宋" w:cs="仿宋" w:hint="eastAsia"/>
          <w:sz w:val="28"/>
          <w:szCs w:val="28"/>
        </w:rPr>
        <w:t>有连续２年在校工作经历的公办外聘全职教师和民办学校全职</w:t>
      </w:r>
      <w:r w:rsidR="0002059F" w:rsidRPr="00351B43">
        <w:rPr>
          <w:rFonts w:ascii="仿宋" w:eastAsia="仿宋" w:hAnsi="仿宋" w:cs="仿宋" w:hint="eastAsia"/>
          <w:sz w:val="28"/>
          <w:szCs w:val="28"/>
        </w:rPr>
        <w:lastRenderedPageBreak/>
        <w:t>教师。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2.参赛选手报名获得确认后不得随意更换。如备赛过程中参赛选手因故无法参赛，须</w:t>
      </w:r>
      <w:r w:rsidR="0002059F">
        <w:rPr>
          <w:rFonts w:ascii="仿宋_GB2312" w:eastAsia="仿宋_GB2312" w:hAnsi="仿宋_GB2312" w:cs="仿宋_GB2312" w:hint="eastAsia"/>
          <w:sz w:val="28"/>
          <w:szCs w:val="28"/>
        </w:rPr>
        <w:t>向</w:t>
      </w:r>
      <w:r>
        <w:rPr>
          <w:rFonts w:ascii="仿宋_GB2312" w:eastAsia="仿宋_GB2312" w:hAnsi="仿宋_GB2312" w:cs="仿宋_GB2312" w:hint="eastAsia"/>
          <w:sz w:val="28"/>
          <w:szCs w:val="28"/>
        </w:rPr>
        <w:t>大赛办公室于本赛项开赛10个工作日之前出具书面说明，经大赛办公室核实后予以更换。</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3.参赛选手应遵守赛场纪律，服从赛项办指挥和安排，爱护比赛场地的设备和器材。</w:t>
      </w:r>
    </w:p>
    <w:p w:rsidR="00327381" w:rsidRDefault="0002059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00AA637F">
        <w:rPr>
          <w:rFonts w:ascii="仿宋_GB2312" w:eastAsia="仿宋_GB2312" w:hAnsi="仿宋_GB2312" w:cs="仿宋_GB2312" w:hint="eastAsia"/>
          <w:sz w:val="28"/>
          <w:szCs w:val="28"/>
        </w:rPr>
        <w:t>.各校负责参赛教师的资格审查工作。</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1.比赛前一天安排参赛队熟悉比赛场地，召开领队会议，宣布</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纪律和有关事宜，抽签确定各参赛队的组别。</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2.所有</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项目每场比赛前30分钟组织各参赛队检录抽签，参赛选手的参赛组别、</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工位号、比赛所用材料及工具等采用抽签方式确定。</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327381" w:rsidRDefault="0002059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1.参赛选手应在指引员指引下提前5分钟进入</w:t>
      </w:r>
      <w:r w:rsidR="00B854E4">
        <w:rPr>
          <w:rFonts w:ascii="仿宋_GB2312" w:eastAsia="仿宋_GB2312" w:hAnsi="仿宋_GB2312" w:cs="仿宋_GB2312" w:hint="eastAsia"/>
          <w:sz w:val="28"/>
          <w:szCs w:val="28"/>
        </w:rPr>
        <w:t>比赛</w:t>
      </w:r>
      <w:r w:rsidR="00AA637F">
        <w:rPr>
          <w:rFonts w:ascii="仿宋_GB2312" w:eastAsia="仿宋_GB2312" w:hAnsi="仿宋_GB2312" w:cs="仿宋_GB2312" w:hint="eastAsia"/>
          <w:sz w:val="28"/>
          <w:szCs w:val="28"/>
        </w:rPr>
        <w:t>场地，迟到者不予参加比赛，并依照项目裁判长统一指令开始比赛。</w:t>
      </w:r>
    </w:p>
    <w:p w:rsidR="00327381" w:rsidRDefault="0002059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2.参赛选手进入赛场必需听从现场裁判人员的统一布置和安排，比赛期间必须严格遵守安全操作规程，确保人身和设备安全。</w:t>
      </w:r>
    </w:p>
    <w:p w:rsidR="00327381" w:rsidRDefault="0002059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3.赛场提供</w:t>
      </w:r>
      <w:r w:rsidR="00B854E4">
        <w:rPr>
          <w:rFonts w:ascii="仿宋_GB2312" w:eastAsia="仿宋_GB2312" w:hAnsi="仿宋_GB2312" w:cs="仿宋_GB2312" w:hint="eastAsia"/>
          <w:sz w:val="28"/>
          <w:szCs w:val="28"/>
        </w:rPr>
        <w:t>比赛</w:t>
      </w:r>
      <w:r w:rsidR="00AA637F">
        <w:rPr>
          <w:rFonts w:ascii="仿宋_GB2312" w:eastAsia="仿宋_GB2312" w:hAnsi="仿宋_GB2312" w:cs="仿宋_GB2312" w:hint="eastAsia"/>
          <w:sz w:val="28"/>
          <w:szCs w:val="28"/>
        </w:rPr>
        <w:t>指定的专用材料与工具，参赛选手不可自带工具。</w:t>
      </w:r>
    </w:p>
    <w:p w:rsidR="00327381" w:rsidRDefault="0002059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4.参赛选手应认真阅读</w:t>
      </w:r>
      <w:r w:rsidR="00B854E4">
        <w:rPr>
          <w:rFonts w:ascii="仿宋_GB2312" w:eastAsia="仿宋_GB2312" w:hAnsi="仿宋_GB2312" w:cs="仿宋_GB2312" w:hint="eastAsia"/>
          <w:sz w:val="28"/>
          <w:szCs w:val="28"/>
        </w:rPr>
        <w:t>比赛</w:t>
      </w:r>
      <w:r w:rsidR="00AA637F">
        <w:rPr>
          <w:rFonts w:ascii="仿宋_GB2312" w:eastAsia="仿宋_GB2312" w:hAnsi="仿宋_GB2312" w:cs="仿宋_GB2312" w:hint="eastAsia"/>
          <w:sz w:val="28"/>
          <w:szCs w:val="28"/>
        </w:rPr>
        <w:t>须知，自觉遵守赛场纪律，按</w:t>
      </w:r>
      <w:r w:rsidR="00B854E4">
        <w:rPr>
          <w:rFonts w:ascii="仿宋_GB2312" w:eastAsia="仿宋_GB2312" w:hAnsi="仿宋_GB2312" w:cs="仿宋_GB2312" w:hint="eastAsia"/>
          <w:sz w:val="28"/>
          <w:szCs w:val="28"/>
        </w:rPr>
        <w:t>比赛</w:t>
      </w:r>
      <w:r w:rsidR="00AA637F">
        <w:rPr>
          <w:rFonts w:ascii="仿宋_GB2312" w:eastAsia="仿宋_GB2312" w:hAnsi="仿宋_GB2312" w:cs="仿宋_GB2312" w:hint="eastAsia"/>
          <w:sz w:val="28"/>
          <w:szCs w:val="28"/>
        </w:rPr>
        <w:t>规则、项目与赛场要求进行</w:t>
      </w:r>
      <w:r w:rsidR="00B854E4">
        <w:rPr>
          <w:rFonts w:ascii="仿宋_GB2312" w:eastAsia="仿宋_GB2312" w:hAnsi="仿宋_GB2312" w:cs="仿宋_GB2312" w:hint="eastAsia"/>
          <w:sz w:val="28"/>
          <w:szCs w:val="28"/>
        </w:rPr>
        <w:t>比赛</w:t>
      </w:r>
      <w:r w:rsidR="00AA637F">
        <w:rPr>
          <w:rFonts w:ascii="仿宋_GB2312" w:eastAsia="仿宋_GB2312" w:hAnsi="仿宋_GB2312" w:cs="仿宋_GB2312" w:hint="eastAsia"/>
          <w:sz w:val="28"/>
          <w:szCs w:val="28"/>
        </w:rPr>
        <w:t>，不得携带任何通讯及存储设备、纸质材料等物</w:t>
      </w:r>
      <w:r w:rsidR="00AA637F">
        <w:rPr>
          <w:rFonts w:ascii="仿宋_GB2312" w:eastAsia="仿宋_GB2312" w:hAnsi="仿宋_GB2312" w:cs="仿宋_GB2312" w:hint="eastAsia"/>
          <w:sz w:val="28"/>
          <w:szCs w:val="28"/>
        </w:rPr>
        <w:lastRenderedPageBreak/>
        <w:t>品进入赛场，赛场内提供必需用品。</w:t>
      </w:r>
    </w:p>
    <w:p w:rsidR="00327381" w:rsidRDefault="0002059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5.任何人不得以任何方式公开参赛队及个人信息。</w:t>
      </w:r>
    </w:p>
    <w:p w:rsidR="00327381" w:rsidRDefault="0002059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6.</w:t>
      </w:r>
      <w:r w:rsidR="00B854E4">
        <w:rPr>
          <w:rFonts w:ascii="仿宋_GB2312" w:eastAsia="仿宋_GB2312" w:hAnsi="仿宋_GB2312" w:cs="仿宋_GB2312" w:hint="eastAsia"/>
          <w:sz w:val="28"/>
          <w:szCs w:val="28"/>
        </w:rPr>
        <w:t>比赛</w:t>
      </w:r>
      <w:r w:rsidR="00AA637F">
        <w:rPr>
          <w:rFonts w:ascii="仿宋_GB2312" w:eastAsia="仿宋_GB2312" w:hAnsi="仿宋_GB2312" w:cs="仿宋_GB2312" w:hint="eastAsia"/>
          <w:sz w:val="28"/>
          <w:szCs w:val="28"/>
        </w:rPr>
        <w:t>过程中如因材料、设备等原因发生故障，应由项目裁判长进行评判；若因选手个人原因造成设备故障而无法继续比赛，裁判长有权决定终止该选手或该队比赛，若非选手原因造成设备故障的，由裁判长视具体情况做出裁决（暂停比赛计时或调整至最后一批次参加比赛），如果裁判长确定为设备故障问题，将给参赛选手补足技术支持人员排除设备故障所耽误的</w:t>
      </w:r>
      <w:r w:rsidR="00B854E4">
        <w:rPr>
          <w:rFonts w:ascii="仿宋_GB2312" w:eastAsia="仿宋_GB2312" w:hAnsi="仿宋_GB2312" w:cs="仿宋_GB2312" w:hint="eastAsia"/>
          <w:sz w:val="28"/>
          <w:szCs w:val="28"/>
        </w:rPr>
        <w:t>比赛</w:t>
      </w:r>
      <w:r w:rsidR="00AA637F">
        <w:rPr>
          <w:rFonts w:ascii="仿宋_GB2312" w:eastAsia="仿宋_GB2312" w:hAnsi="仿宋_GB2312" w:cs="仿宋_GB2312" w:hint="eastAsia"/>
          <w:sz w:val="28"/>
          <w:szCs w:val="28"/>
        </w:rPr>
        <w:t>时间。</w:t>
      </w:r>
    </w:p>
    <w:p w:rsidR="00327381" w:rsidRDefault="0002059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7.比赛结束前3分钟，由裁判长提醒考生比赛时间。当裁判长宣布比赛结束后，参赛选手必须马上停止一切操作，按要求位置站立等候撤离比赛指令。</w:t>
      </w:r>
    </w:p>
    <w:p w:rsidR="00327381" w:rsidRDefault="00451DD6">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8.参赛选手若提前结束比赛，应由选手向裁判员举手示意，比赛终止时间由裁判员记录，选手结束比赛后不得再进行任何操作，并按要求撤离比赛现场。</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327381" w:rsidRDefault="00451DD6">
      <w:pPr>
        <w:spacing w:line="580" w:lineRule="atLeas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A637F">
        <w:rPr>
          <w:rFonts w:ascii="仿宋_GB2312" w:eastAsia="仿宋_GB2312" w:hAnsi="仿宋_GB2312" w:cs="仿宋_GB2312" w:hint="eastAsia"/>
          <w:sz w:val="28"/>
          <w:szCs w:val="28"/>
        </w:rPr>
        <w:t>在大赛办领导下，裁判组严格按照评分标准负责赛项成绩评定，确保比赛成绩准确无误。</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327381" w:rsidRDefault="00AA637F">
      <w:pPr>
        <w:adjustRightInd w:val="0"/>
        <w:snapToGrid w:val="0"/>
        <w:spacing w:line="580" w:lineRule="atLeas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（一）场地及周边布局</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1.场地环境应按照营养液配制和蔬菜嫁接育苗的技术要求进行布置，</w:t>
      </w:r>
      <w:r>
        <w:rPr>
          <w:rFonts w:ascii="仿宋_GB2312" w:eastAsia="仿宋_GB2312" w:hAnsi="仿宋_GB2312" w:cs="仿宋_GB2312" w:hint="eastAsia"/>
          <w:sz w:val="28"/>
          <w:szCs w:val="28"/>
        </w:rPr>
        <w:lastRenderedPageBreak/>
        <w:t>整个比赛场地应保持通畅和开放，并配备防火防爆及其他安全设施。</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2.赛场周边设有卫生间、维修服务、医疗、生活补给站等公共服务区和紧急疏散通道，并在赛场周围设置隔离带。</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3.设立赛场开放区和安全通道，保证大赛安全有序进行。</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4.场地配套提供稳定的水、电、气源和供电应急设备，并有保安、公安、消防、设备维修和电力抢险人员待命，以防突发事件。</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（二）场内设施及布局</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1.场地操作台不少于20套，可同时容纳20个工位同场</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2.每个</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操作台上配有相应的材料、工具和操作流程材料，配有相应数量的清洁工具。</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工位相对独立，确保选手独立开展</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，不受外界影响。</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以教育部颁布的职业学校相关专业教学指导方案，以国家职业技能培训鉴定《蔬菜园艺工》（中级）规定的知识和技能要求为基础。    </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1.适用产业</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蔬菜、花卉、果蔬、药用植物、茶、经济林等多种产业。</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2.引用职业标准</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国家职业标准《蔬菜园艺工》（中级）。</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3.引用技术标准</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《蔬菜穴盘育苗通则》（NY/T 2119-2012）</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《育苗技术规程》（GB/T6001-1985）</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《蔬菜育苗基质》（NY/T 2118-2012）。</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通过调研全国涉农院校及园艺作物育苗工厂，</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选用通用营养液配制试剂和仪器、育苗材料、嫁接工具等生产企业一致，符合学生就业岗位要求。</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每组准备材料、仪器设备如下：</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1.营养液配制</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①试剂：四水硝酸钙（Ca(NO</w:t>
      </w:r>
      <w:r>
        <w:rPr>
          <w:rFonts w:ascii="仿宋_GB2312" w:eastAsia="仿宋_GB2312" w:hAnsi="仿宋_GB2312" w:cs="仿宋_GB2312" w:hint="eastAsia"/>
          <w:sz w:val="28"/>
          <w:szCs w:val="28"/>
          <w:vertAlign w:val="subscript"/>
        </w:rPr>
        <w:t>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﹒4H</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O），磷酸二氢铵（NH</w:t>
      </w:r>
      <w:r>
        <w:rPr>
          <w:rFonts w:ascii="仿宋_GB2312" w:eastAsia="仿宋_GB2312" w:hAnsi="仿宋_GB2312" w:cs="仿宋_GB2312" w:hint="eastAsia"/>
          <w:sz w:val="28"/>
          <w:szCs w:val="28"/>
          <w:vertAlign w:val="subscript"/>
        </w:rPr>
        <w:t>4</w:t>
      </w:r>
      <w:r>
        <w:rPr>
          <w:rFonts w:ascii="仿宋_GB2312" w:eastAsia="仿宋_GB2312" w:hAnsi="仿宋_GB2312" w:cs="仿宋_GB2312" w:hint="eastAsia"/>
          <w:sz w:val="28"/>
          <w:szCs w:val="28"/>
        </w:rPr>
        <w:t>H</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PO</w:t>
      </w:r>
      <w:r>
        <w:rPr>
          <w:rFonts w:ascii="仿宋_GB2312" w:eastAsia="仿宋_GB2312" w:hAnsi="仿宋_GB2312" w:cs="仿宋_GB2312" w:hint="eastAsia"/>
          <w:sz w:val="28"/>
          <w:szCs w:val="28"/>
          <w:vertAlign w:val="subscript"/>
        </w:rPr>
        <w:t>4</w:t>
      </w:r>
      <w:r>
        <w:rPr>
          <w:rFonts w:ascii="仿宋_GB2312" w:eastAsia="仿宋_GB2312" w:hAnsi="仿宋_GB2312" w:cs="仿宋_GB2312" w:hint="eastAsia"/>
          <w:sz w:val="28"/>
          <w:szCs w:val="28"/>
        </w:rPr>
        <w:t>）、七水硫酸亚铁(FeSO</w:t>
      </w:r>
      <w:r>
        <w:rPr>
          <w:rFonts w:ascii="仿宋_GB2312" w:eastAsia="仿宋_GB2312" w:hAnsi="仿宋_GB2312" w:cs="仿宋_GB2312" w:hint="eastAsia"/>
          <w:sz w:val="28"/>
          <w:szCs w:val="28"/>
          <w:vertAlign w:val="subscript"/>
        </w:rPr>
        <w:t>4</w:t>
      </w:r>
      <w:r>
        <w:rPr>
          <w:rFonts w:ascii="仿宋_GB2312" w:eastAsia="仿宋_GB2312" w:hAnsi="仿宋_GB2312" w:cs="仿宋_GB2312" w:hint="eastAsia"/>
          <w:sz w:val="28"/>
          <w:szCs w:val="28"/>
        </w:rPr>
        <w:t>﹒7H</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O) 、乙二胺四乙酸二钠(Na</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-EDTA)、蒸馏水。</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②仪器设备：电子分析天平（感量：0.0001g）1台、电子天平（感量：0.01g）1台、500ml烧杯4个、250ml烧杯3个、100ml烧杯6个、20ml烧杯3个， 500ml容量瓶3个，250ml容量瓶3个、100ml容量瓶3个、10ml移液管3个、5ml移液管3个、2ml移液管3个、1ml移液管3个、1000ml玻璃烧杯1个（工作液稀释）、废液缸1个、废纸缸1个、胶头滴管2个、玻璃棒4根、5L笼头瓶1个（装有蒸馏水）、500ml试剂瓶3个（一个棕色）、洗瓶2个、天平刷1个、塑料药勺4个、抹布1块、称量纸1包、滤纸1包、卷纸1包、标签纸1张、草稿纸1张、记号笔1支、0.5mm中性笔1支、计算器1个。</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2.蔬菜嫁接</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①材料：西瓜砧木采用生长健壮、无病虫害的葫芦50孔穴盘苗，接</w:t>
      </w:r>
      <w:r>
        <w:rPr>
          <w:rFonts w:ascii="仿宋_GB2312" w:eastAsia="仿宋_GB2312" w:hAnsi="仿宋_GB2312" w:cs="仿宋_GB2312" w:hint="eastAsia"/>
          <w:sz w:val="28"/>
          <w:szCs w:val="28"/>
        </w:rPr>
        <w:lastRenderedPageBreak/>
        <w:t>穗采用生长健壮、无病虫害中小型西瓜幼苗；黄瓜砧木采用生长健壮、无病虫害的杂交种南瓜（印度南瓜和中国南瓜的种间杂种）50孔穴盘苗，接穗采用生长健壮、无病虫害密刺型黄瓜幼苗。</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工具：嫁接操作台(长宽高为2.2m*1m*0.75m)、嫁接刀（采用双面刮须刀片，将刀片沿中线纵向拆成两半，一段用胶布包扎）、4种规格的嫁接竹签（长度10㎝，直径分别为1.5mm、2.0mm、2.5mm、3.0mm竹签，顶端单面斜切面长度5-6㎜）、嫁接夹（平口塑料嫁接夹）、毛巾、瓷盘、培养皿、手持小型喷雾器、75%酒精、棉球、笔1支等。（由承办单位统一准备）。</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1.裁判员组成</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聘请相关专业职业技能鉴定高级考评员、行业企业专家、高等院校具有高级职称的专业教师为裁判员，由5-7人组成。</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2.裁判评分方法</w:t>
      </w:r>
    </w:p>
    <w:p w:rsidR="00327381" w:rsidRDefault="00AA637F">
      <w:pPr>
        <w:pStyle w:val="a4"/>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根据评分标准，采取过程评分和操作结果相结合，结果分组打分（每组裁判保证2人以上）的方式。</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3.成绩产生方法</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为保证公开、公平、公正、透明地进行成绩评定，在裁判员的评分中，去掉一个最高分和一个最低分，取平均分作为选手技能得分。</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4.成绩审核方法</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各裁判员首先审核自身对选手的原始打分成绩，并签名；裁判长对所有裁判员的打分成绩进行审核，并签名。</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_GB2312" w:cs="仿宋_GB2312" w:hint="eastAsia"/>
          <w:sz w:val="28"/>
          <w:szCs w:val="28"/>
        </w:rPr>
        <w:t>为保障成绩评判的准确性，</w:t>
      </w:r>
      <w:r>
        <w:rPr>
          <w:rFonts w:ascii="仿宋_GB2312" w:eastAsia="仿宋_GB2312" w:hAnsi="仿宋" w:hint="eastAsia"/>
          <w:sz w:val="28"/>
          <w:szCs w:val="28"/>
        </w:rPr>
        <w:t>各裁判员首先审核自身对选手的原始打分成绩，</w:t>
      </w:r>
      <w:r w:rsidR="00B854E4">
        <w:rPr>
          <w:rFonts w:ascii="仿宋_GB2312" w:eastAsia="仿宋_GB2312" w:hAnsi="仿宋" w:hint="eastAsia"/>
          <w:sz w:val="28"/>
          <w:szCs w:val="28"/>
        </w:rPr>
        <w:t>并签名；裁判长对所有裁判员的打分成绩进行审核，并签名；最终，</w:t>
      </w:r>
      <w:r>
        <w:rPr>
          <w:rFonts w:ascii="仿宋_GB2312" w:eastAsia="仿宋_GB2312" w:hAnsi="仿宋" w:hint="eastAsia"/>
          <w:sz w:val="28"/>
          <w:szCs w:val="28"/>
        </w:rPr>
        <w:t>大赛办对本项目裁判员的打分成绩进行最终审核，并签名。</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（三）成绩公布</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hint="eastAsia"/>
          <w:sz w:val="28"/>
          <w:szCs w:val="28"/>
        </w:rPr>
        <w:t>大赛办对本项目裁判员的打分进行最终审核后，再根据成绩产生的方法，计算出选手最终成绩后，即可公布成绩。</w:t>
      </w:r>
    </w:p>
    <w:p w:rsidR="00327381" w:rsidRDefault="00AA637F">
      <w:pPr>
        <w:adjustRightInd w:val="0"/>
        <w:snapToGrid w:val="0"/>
        <w:spacing w:line="580" w:lineRule="atLeas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（四）评分标准</w:t>
      </w:r>
    </w:p>
    <w:p w:rsidR="00327381" w:rsidRDefault="00AA637F">
      <w:pPr>
        <w:spacing w:line="580" w:lineRule="atLeast"/>
        <w:ind w:firstLineChars="200" w:firstLine="560"/>
        <w:rPr>
          <w:rFonts w:ascii="仿宋_GB2312" w:eastAsia="仿宋_GB2312" w:hAnsi="仿宋_GB2312" w:cs="仿宋_GB2312"/>
          <w:b/>
          <w:kern w:val="0"/>
          <w:sz w:val="28"/>
          <w:szCs w:val="28"/>
        </w:rPr>
      </w:pPr>
      <w:r>
        <w:rPr>
          <w:rFonts w:ascii="仿宋_GB2312" w:eastAsia="仿宋_GB2312" w:hAnsi="仿宋_GB2312" w:cs="仿宋_GB2312" w:hint="eastAsia"/>
          <w:sz w:val="28"/>
          <w:szCs w:val="28"/>
        </w:rPr>
        <w:t>比赛评分由该项目裁判员统一评分，评分细则见表5、6。</w:t>
      </w:r>
    </w:p>
    <w:p w:rsidR="00327381" w:rsidRDefault="00AA637F">
      <w:pPr>
        <w:widowControl/>
        <w:adjustRightInd w:val="0"/>
        <w:snapToGrid w:val="0"/>
        <w:spacing w:line="580" w:lineRule="atLeast"/>
        <w:ind w:firstLineChars="200" w:firstLine="562"/>
        <w:jc w:val="center"/>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表5营养液配制评分细则</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271"/>
        <w:gridCol w:w="1251"/>
        <w:gridCol w:w="4241"/>
        <w:gridCol w:w="940"/>
      </w:tblGrid>
      <w:tr w:rsidR="00327381" w:rsidTr="00B854E4">
        <w:trPr>
          <w:trHeight w:val="395"/>
          <w:jc w:val="center"/>
        </w:trPr>
        <w:tc>
          <w:tcPr>
            <w:tcW w:w="814"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序号</w:t>
            </w:r>
          </w:p>
        </w:tc>
        <w:tc>
          <w:tcPr>
            <w:tcW w:w="2522" w:type="dxa"/>
            <w:gridSpan w:val="2"/>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考核内容</w:t>
            </w:r>
          </w:p>
        </w:tc>
        <w:tc>
          <w:tcPr>
            <w:tcW w:w="424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考核要点</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分值</w:t>
            </w:r>
          </w:p>
        </w:tc>
      </w:tr>
      <w:tr w:rsidR="00327381" w:rsidTr="00B854E4">
        <w:trPr>
          <w:trHeight w:val="376"/>
          <w:jc w:val="center"/>
        </w:trPr>
        <w:tc>
          <w:tcPr>
            <w:tcW w:w="814" w:type="dxa"/>
            <w:vMerge w:val="restart"/>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271" w:type="dxa"/>
            <w:vMerge w:val="restart"/>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母液配制</w:t>
            </w:r>
          </w:p>
        </w:tc>
        <w:tc>
          <w:tcPr>
            <w:tcW w:w="125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计算</w:t>
            </w:r>
          </w:p>
        </w:tc>
        <w:tc>
          <w:tcPr>
            <w:tcW w:w="424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准确计算各种试剂所用量,每空1.5分。</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w:t>
            </w:r>
          </w:p>
        </w:tc>
      </w:tr>
      <w:tr w:rsidR="00327381" w:rsidTr="00B854E4">
        <w:trPr>
          <w:trHeight w:val="1081"/>
          <w:jc w:val="center"/>
        </w:trPr>
        <w:tc>
          <w:tcPr>
            <w:tcW w:w="814"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51" w:type="dxa"/>
            <w:vMerge w:val="restart"/>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试剂称量</w:t>
            </w:r>
          </w:p>
        </w:tc>
        <w:tc>
          <w:tcPr>
            <w:tcW w:w="424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天平的使用（A、B液试剂使用百分之一天平称量，C液试剂使用万分之一天平称量）。</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w:t>
            </w:r>
          </w:p>
        </w:tc>
      </w:tr>
      <w:tr w:rsidR="00327381" w:rsidTr="00B854E4">
        <w:trPr>
          <w:trHeight w:val="395"/>
          <w:jc w:val="center"/>
        </w:trPr>
        <w:tc>
          <w:tcPr>
            <w:tcW w:w="814"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51"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424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药品的称量。</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8</w:t>
            </w:r>
          </w:p>
        </w:tc>
      </w:tr>
      <w:tr w:rsidR="00327381" w:rsidTr="00B854E4">
        <w:trPr>
          <w:trHeight w:val="395"/>
          <w:jc w:val="center"/>
        </w:trPr>
        <w:tc>
          <w:tcPr>
            <w:tcW w:w="814"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5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母液配制</w:t>
            </w:r>
          </w:p>
        </w:tc>
        <w:tc>
          <w:tcPr>
            <w:tcW w:w="424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溶解、移液、贮液、贴标签。</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7</w:t>
            </w:r>
          </w:p>
        </w:tc>
      </w:tr>
      <w:tr w:rsidR="00327381" w:rsidTr="00B854E4">
        <w:trPr>
          <w:trHeight w:val="395"/>
          <w:jc w:val="center"/>
        </w:trPr>
        <w:tc>
          <w:tcPr>
            <w:tcW w:w="814"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5492" w:type="dxa"/>
            <w:gridSpan w:val="2"/>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小  计</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25</w:t>
            </w:r>
          </w:p>
        </w:tc>
      </w:tr>
      <w:tr w:rsidR="00327381" w:rsidTr="00B854E4">
        <w:trPr>
          <w:trHeight w:val="789"/>
          <w:jc w:val="center"/>
        </w:trPr>
        <w:tc>
          <w:tcPr>
            <w:tcW w:w="814" w:type="dxa"/>
            <w:vMerge w:val="restart"/>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2</w:t>
            </w:r>
          </w:p>
        </w:tc>
        <w:tc>
          <w:tcPr>
            <w:tcW w:w="1271" w:type="dxa"/>
            <w:vMerge w:val="restart"/>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工作液配制</w:t>
            </w:r>
          </w:p>
        </w:tc>
        <w:tc>
          <w:tcPr>
            <w:tcW w:w="125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计算</w:t>
            </w:r>
          </w:p>
        </w:tc>
        <w:tc>
          <w:tcPr>
            <w:tcW w:w="424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准确计算A、B、C各浓缩母液的移取量，每空1分。</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3</w:t>
            </w:r>
          </w:p>
        </w:tc>
      </w:tr>
      <w:tr w:rsidR="00327381" w:rsidTr="00B854E4">
        <w:trPr>
          <w:trHeight w:val="317"/>
          <w:jc w:val="center"/>
        </w:trPr>
        <w:tc>
          <w:tcPr>
            <w:tcW w:w="814"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5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工作液</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w:t>
            </w:r>
          </w:p>
        </w:tc>
        <w:tc>
          <w:tcPr>
            <w:tcW w:w="424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移液、工作液溶解步骤、定容。</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8</w:t>
            </w:r>
          </w:p>
        </w:tc>
      </w:tr>
      <w:tr w:rsidR="00327381" w:rsidTr="00B854E4">
        <w:trPr>
          <w:trHeight w:val="395"/>
          <w:jc w:val="center"/>
        </w:trPr>
        <w:tc>
          <w:tcPr>
            <w:tcW w:w="814"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5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台面整理</w:t>
            </w:r>
          </w:p>
        </w:tc>
        <w:tc>
          <w:tcPr>
            <w:tcW w:w="4241"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桌面整洁、药品试剂归原、贴标签。</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w:t>
            </w:r>
          </w:p>
        </w:tc>
      </w:tr>
      <w:tr w:rsidR="00327381" w:rsidTr="00B854E4">
        <w:trPr>
          <w:trHeight w:val="413"/>
          <w:jc w:val="center"/>
        </w:trPr>
        <w:tc>
          <w:tcPr>
            <w:tcW w:w="814"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1271" w:type="dxa"/>
            <w:vMerge/>
            <w:vAlign w:val="center"/>
          </w:tcPr>
          <w:p w:rsidR="00327381" w:rsidRDefault="00327381">
            <w:pPr>
              <w:spacing w:line="580" w:lineRule="atLeast"/>
              <w:jc w:val="center"/>
              <w:rPr>
                <w:rFonts w:ascii="仿宋_GB2312" w:eastAsia="仿宋_GB2312" w:hAnsi="仿宋_GB2312" w:cs="仿宋_GB2312"/>
                <w:bCs/>
                <w:color w:val="000000"/>
                <w:sz w:val="24"/>
              </w:rPr>
            </w:pPr>
          </w:p>
        </w:tc>
        <w:tc>
          <w:tcPr>
            <w:tcW w:w="5492" w:type="dxa"/>
            <w:gridSpan w:val="2"/>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小  计</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15</w:t>
            </w:r>
          </w:p>
        </w:tc>
      </w:tr>
      <w:tr w:rsidR="00327381" w:rsidTr="00B854E4">
        <w:trPr>
          <w:trHeight w:val="395"/>
          <w:jc w:val="center"/>
        </w:trPr>
        <w:tc>
          <w:tcPr>
            <w:tcW w:w="7577" w:type="dxa"/>
            <w:gridSpan w:val="4"/>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总  分</w:t>
            </w:r>
          </w:p>
        </w:tc>
        <w:tc>
          <w:tcPr>
            <w:tcW w:w="940" w:type="dxa"/>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40</w:t>
            </w:r>
          </w:p>
        </w:tc>
      </w:tr>
    </w:tbl>
    <w:p w:rsidR="00327381" w:rsidRDefault="00AA637F">
      <w:pPr>
        <w:widowControl/>
        <w:adjustRightInd w:val="0"/>
        <w:snapToGrid w:val="0"/>
        <w:spacing w:line="580" w:lineRule="atLeast"/>
        <w:jc w:val="center"/>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表6嫁接操作评分细则</w:t>
      </w:r>
    </w:p>
    <w:tbl>
      <w:tblPr>
        <w:tblW w:w="8505" w:type="dxa"/>
        <w:tblInd w:w="392" w:type="dxa"/>
        <w:tblLayout w:type="fixed"/>
        <w:tblLook w:val="04A0"/>
      </w:tblPr>
      <w:tblGrid>
        <w:gridCol w:w="709"/>
        <w:gridCol w:w="1275"/>
        <w:gridCol w:w="2664"/>
        <w:gridCol w:w="2865"/>
        <w:gridCol w:w="992"/>
      </w:tblGrid>
      <w:tr w:rsidR="00327381" w:rsidTr="00B854E4">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序号</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考核内容</w:t>
            </w:r>
          </w:p>
        </w:tc>
        <w:tc>
          <w:tcPr>
            <w:tcW w:w="2664"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考核要点</w:t>
            </w:r>
          </w:p>
        </w:tc>
        <w:tc>
          <w:tcPr>
            <w:tcW w:w="286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得分标准</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分值</w:t>
            </w:r>
          </w:p>
        </w:tc>
      </w:tr>
      <w:tr w:rsidR="00327381" w:rsidTr="00B854E4">
        <w:trPr>
          <w:trHeight w:val="1750"/>
        </w:trPr>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嫁接速度</w:t>
            </w:r>
          </w:p>
        </w:tc>
        <w:tc>
          <w:tcPr>
            <w:tcW w:w="2664"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在规定的40分钟时间内，按照规范完成西瓜劈接、黄瓜顶端插接两项内容操作。</w:t>
            </w:r>
          </w:p>
        </w:tc>
        <w:tc>
          <w:tcPr>
            <w:tcW w:w="2865"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 xml:space="preserve">完成一株西瓜劈接苗得0.3分，劈接满分24分，超过80有效株不再计分；完成一株黄瓜嫁接苗得0.2分，插接满分24分，超过120有效株不再计分。 </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48</w:t>
            </w:r>
          </w:p>
        </w:tc>
      </w:tr>
      <w:tr w:rsidR="00327381" w:rsidTr="00B854E4">
        <w:trPr>
          <w:trHeight w:val="994"/>
        </w:trPr>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砧穗选择</w:t>
            </w:r>
          </w:p>
        </w:tc>
        <w:tc>
          <w:tcPr>
            <w:tcW w:w="2664"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挑选出子叶展开，真叶初露适期葫芦砧木穴盘苗，挑选出子叶半展至平展的西瓜接穗苗。挑选第一片真叶平展，第二片真叶显露之前的南</w:t>
            </w:r>
            <w:r>
              <w:rPr>
                <w:rFonts w:ascii="仿宋_GB2312" w:eastAsia="仿宋_GB2312" w:hAnsi="仿宋_GB2312" w:cs="仿宋_GB2312" w:hint="eastAsia"/>
                <w:bCs/>
                <w:color w:val="000000"/>
                <w:sz w:val="24"/>
              </w:rPr>
              <w:lastRenderedPageBreak/>
              <w:t>瓜砧木穴盘苗；选出子叶半展至平展的黄瓜接穗苗。</w:t>
            </w:r>
          </w:p>
        </w:tc>
        <w:tc>
          <w:tcPr>
            <w:tcW w:w="2865"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选错一穴盘砧木类型扣2分，错选一株苗龄接穗苗扣1分。扣完为止。</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r>
      <w:tr w:rsidR="00327381" w:rsidTr="00B854E4">
        <w:trPr>
          <w:trHeight w:val="793"/>
        </w:trPr>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3</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工具</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消毒</w:t>
            </w:r>
          </w:p>
        </w:tc>
        <w:tc>
          <w:tcPr>
            <w:tcW w:w="2664"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操作人员手指、刀片、竹签等嫁接工具用75%的酒精棉球消毒。</w:t>
            </w:r>
          </w:p>
        </w:tc>
        <w:tc>
          <w:tcPr>
            <w:tcW w:w="2865"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每出现一处未消毒扣1。扣完为止。</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r>
      <w:tr w:rsidR="00327381" w:rsidTr="00B854E4">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去生长点</w:t>
            </w:r>
          </w:p>
        </w:tc>
        <w:tc>
          <w:tcPr>
            <w:tcW w:w="2664"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用嫁接工具剔除砧木真叶和生长点。</w:t>
            </w:r>
          </w:p>
        </w:tc>
        <w:tc>
          <w:tcPr>
            <w:tcW w:w="2865"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每出现一株剔除不干净扣1分，用手直接剔除生长点扣1分。扣完为止。</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r>
      <w:tr w:rsidR="00327381" w:rsidTr="00B854E4">
        <w:trPr>
          <w:trHeight w:val="1307"/>
        </w:trPr>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5</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劈/插砧木</w:t>
            </w:r>
          </w:p>
        </w:tc>
        <w:tc>
          <w:tcPr>
            <w:tcW w:w="2664"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劈接时，用刀片沿葫芦子叶内侧方向过轴心向下纵劈1-1.5cm，过胚轴心，下胚轴外侧不劈开，宽不小于接穗横径。</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插接时，用竹签紧贴南瓜子叶叶柄中脉基部向另一子叶叶柄基部成30～45°斜插，插孔深约0.7㎝，竹签即将穿透砧木苗表皮，手指有触感为宜，竹签暂不拔出。</w:t>
            </w:r>
          </w:p>
        </w:tc>
        <w:tc>
          <w:tcPr>
            <w:tcW w:w="2865"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劈口过长或过短一株扣1分，出现胚轴两侧全劈开1株扣1分。竹签角度不符合要求1株扣1分。扣完为止。</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r>
      <w:tr w:rsidR="00327381" w:rsidTr="00B854E4">
        <w:trPr>
          <w:trHeight w:val="1339"/>
        </w:trPr>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6</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削接穗</w:t>
            </w:r>
          </w:p>
        </w:tc>
        <w:tc>
          <w:tcPr>
            <w:tcW w:w="2664"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劈接时，在子叶下方0.5-1㎝处将接穗下胚轴削成双面楔形，削面长度和砧木切口深度相对应，长度控制在1-1.5cm，楔形面平滑无污染。</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插接时，在黄瓜接穗子叶基部约0.5㎝处沿两子叶平行的方向向下胚轴方向斜切0.5-0.6㎝的平滑单楔面或双楔面，角度约为30°，切面平滑无污染。</w:t>
            </w:r>
          </w:p>
        </w:tc>
        <w:tc>
          <w:tcPr>
            <w:tcW w:w="2865"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劈接时，接穗楔面过短或过长一株扣1分，劈接时西瓜切面未削成楔面一株扣1分，插接时，切面长度过短1株扣1分。扣完为止。</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r>
      <w:tr w:rsidR="00327381" w:rsidTr="00B854E4">
        <w:trPr>
          <w:trHeight w:val="983"/>
        </w:trPr>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7</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接合</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固定</w:t>
            </w:r>
          </w:p>
        </w:tc>
        <w:tc>
          <w:tcPr>
            <w:tcW w:w="2664"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劈接时，将接穗楔面全部插入切口，使楔面一侧与砧木外表皮处于同一平面，用嫁接夹从劈口对侧夹住接穗，接穗楔面与砧木切口不移位。</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插接时，拔出竹签，将</w:t>
            </w:r>
            <w:r>
              <w:rPr>
                <w:rFonts w:ascii="仿宋_GB2312" w:eastAsia="仿宋_GB2312" w:hAnsi="仿宋_GB2312" w:cs="仿宋_GB2312" w:hint="eastAsia"/>
                <w:bCs/>
                <w:color w:val="000000"/>
                <w:sz w:val="24"/>
              </w:rPr>
              <w:lastRenderedPageBreak/>
              <w:t>切好的接穗迅速准确地插入砧木切口内，使接穗与砧木紧密结合。接穗斜面与砧木斜面紧靠在一起，嫁接苗的四片子叶必须呈“十”字交叉。</w:t>
            </w:r>
          </w:p>
        </w:tc>
        <w:tc>
          <w:tcPr>
            <w:tcW w:w="2865"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劈接时，嫁接夹方向用反1株扣1分，破坏1株接穗或砧木扣1分。</w:t>
            </w:r>
          </w:p>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插接时，接穗单切面向上插入砧木1处扣1分，接穗显著穿透砧木外表皮1株扣1分，嫁接苗四片子叶不呈“十”字1株扣1</w:t>
            </w:r>
            <w:r>
              <w:rPr>
                <w:rFonts w:ascii="仿宋_GB2312" w:eastAsia="仿宋_GB2312" w:hAnsi="仿宋_GB2312" w:cs="仿宋_GB2312" w:hint="eastAsia"/>
                <w:bCs/>
                <w:color w:val="000000"/>
                <w:sz w:val="24"/>
              </w:rPr>
              <w:lastRenderedPageBreak/>
              <w:t>分，破坏1株接穗或砧木扣1分。扣完为止。</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2</w:t>
            </w:r>
          </w:p>
        </w:tc>
      </w:tr>
      <w:tr w:rsidR="00327381" w:rsidTr="00B854E4">
        <w:trPr>
          <w:trHeight w:val="1763"/>
        </w:trPr>
        <w:tc>
          <w:tcPr>
            <w:tcW w:w="709" w:type="dxa"/>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8</w:t>
            </w:r>
          </w:p>
        </w:tc>
        <w:tc>
          <w:tcPr>
            <w:tcW w:w="1275"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整理</w:t>
            </w:r>
          </w:p>
        </w:tc>
        <w:tc>
          <w:tcPr>
            <w:tcW w:w="2664"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保持操作台面清洁卫生，所用工具摆放原处，嫁接苗摆放整齐放在指定位置，在标签上写上工位号和日期贴在穴盘一顶端边缘，并喷雾保湿。</w:t>
            </w:r>
          </w:p>
        </w:tc>
        <w:tc>
          <w:tcPr>
            <w:tcW w:w="2865" w:type="dxa"/>
            <w:tcBorders>
              <w:top w:val="single" w:sz="4" w:space="0" w:color="auto"/>
              <w:left w:val="nil"/>
              <w:bottom w:val="single" w:sz="4" w:space="0" w:color="auto"/>
              <w:right w:val="single" w:sz="4" w:space="0" w:color="auto"/>
            </w:tcBorders>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未整理台面扣1分，未归原工具扣1分，未贴标签扣1分，未喷雾保湿扣1分。扣完为止。</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r>
      <w:tr w:rsidR="00327381" w:rsidTr="00B854E4">
        <w:trPr>
          <w:trHeight w:val="678"/>
        </w:trPr>
        <w:tc>
          <w:tcPr>
            <w:tcW w:w="7513" w:type="dxa"/>
            <w:gridSpan w:val="4"/>
            <w:tcBorders>
              <w:top w:val="single" w:sz="4" w:space="0" w:color="auto"/>
              <w:left w:val="single" w:sz="4" w:space="0" w:color="auto"/>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总  分</w:t>
            </w:r>
          </w:p>
        </w:tc>
        <w:tc>
          <w:tcPr>
            <w:tcW w:w="992" w:type="dxa"/>
            <w:tcBorders>
              <w:top w:val="single" w:sz="4" w:space="0" w:color="auto"/>
              <w:left w:val="nil"/>
              <w:bottom w:val="single" w:sz="4" w:space="0" w:color="auto"/>
              <w:right w:val="single" w:sz="4" w:space="0" w:color="auto"/>
            </w:tcBorders>
            <w:vAlign w:val="center"/>
          </w:tcPr>
          <w:p w:rsidR="00327381" w:rsidRDefault="00AA637F">
            <w:pPr>
              <w:spacing w:line="580" w:lineRule="atLeas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60</w:t>
            </w:r>
          </w:p>
        </w:tc>
      </w:tr>
    </w:tbl>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十二、奖项设定</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hint="eastAsia"/>
          <w:sz w:val="28"/>
          <w:szCs w:val="28"/>
        </w:rPr>
        <w:t>本赛项为个体奖。参照“沈阳市教育局市人社局市总工会团市委关于举办</w:t>
      </w:r>
      <w:r>
        <w:rPr>
          <w:rFonts w:ascii="仿宋_GB2312" w:eastAsia="仿宋_GB2312" w:hAnsi="仿宋"/>
          <w:sz w:val="28"/>
          <w:szCs w:val="28"/>
        </w:rPr>
        <w:t>201</w:t>
      </w:r>
      <w:r>
        <w:rPr>
          <w:rFonts w:ascii="仿宋_GB2312" w:eastAsia="仿宋_GB2312" w:hAnsi="仿宋" w:hint="eastAsia"/>
          <w:sz w:val="28"/>
          <w:szCs w:val="28"/>
        </w:rPr>
        <w:t>9年度沈阳市职业院校技能大赛的通知”文件精神执行。</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为防范比赛时安全事故、活体材料准备等事故发生，维护正常的比赛秩序，保证大赛按时、安全、有序完成，制定以下赛场应急预案。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（一）育苗气候环境调控应急预案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育苗期间，如遇连续阴雨天气，影响适龄育苗材料培育，赛项承办单位材料准备组采取人工补光、加热（降温）、多批次育苗、异地企业育苗等方式保障充足备用适龄苗使用。</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（二）仪器设备毁坏事件应急预案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每场</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现场准备2套完成的天平、嫁接刀等仪器设备备用工位，应对临时工位设备出现意外，同时，在专家室备用一套完整仪器设备。</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（三）突发受伤医疗服务应急预案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由于蔬菜嫁接比赛需要使用剃须刀片等工具，加上比赛紧张，比赛中可能出现头晕、恶心、呕吐、出血等各种意外，配备现场医疗服务队，轻者在现场进行处理，重者转移至裁判工作室进行处理，严重者送往医院救治。</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（四）突发临时水电事件应急预案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如比赛时突发停水、停电，安全工作组维持次序的同时，积极调配专业电工，查明停电原因，采取相应措施。同时，现场配有水桶、动力电，以备停水停电时使用。</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（五）突发火灾事件应急预案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如发生火灾，及时通知现场负责人，组织人员疏散、切断电源，将易燃易爆物品及时转移到安全地段，同时组织人员使用适宜的灭火器材灭火。对轻伤人员有医疗人员进行处置，对重伤人员及时送往医院进行救治。</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（六）现场突发骚乱事件应急预案</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比赛中如出现争吵、打架等突发事件，赛项安保组及时上前制止，将滋事扰乱人员带出场地。维持现场比赛秩序，同时拨打110电话报警。</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327381" w:rsidRDefault="00B854E4">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（一）比赛赛场为沈阳</w:t>
      </w:r>
      <w:r w:rsidR="00AA637F">
        <w:rPr>
          <w:rFonts w:ascii="仿宋_GB2312" w:eastAsia="仿宋_GB2312" w:hAnsi="仿宋_GB2312" w:cs="仿宋_GB2312" w:hint="eastAsia"/>
          <w:sz w:val="28"/>
          <w:szCs w:val="28"/>
        </w:rPr>
        <w:t>职业</w:t>
      </w:r>
      <w:r>
        <w:rPr>
          <w:rFonts w:ascii="仿宋_GB2312" w:eastAsia="仿宋_GB2312" w:hAnsi="仿宋_GB2312" w:cs="仿宋_GB2312" w:hint="eastAsia"/>
          <w:sz w:val="28"/>
          <w:szCs w:val="28"/>
        </w:rPr>
        <w:t>院校</w:t>
      </w:r>
      <w:r w:rsidR="00AA637F">
        <w:rPr>
          <w:rFonts w:ascii="仿宋_GB2312" w:eastAsia="仿宋_GB2312" w:hAnsi="仿宋_GB2312" w:cs="仿宋_GB2312" w:hint="eastAsia"/>
          <w:sz w:val="28"/>
          <w:szCs w:val="28"/>
        </w:rPr>
        <w:t>技能大赛专用赛场，由专业人员管理比赛设备，电子监控体系进行全方位监控，保安人员维持赛场秩序，保障赛场安全。</w:t>
      </w:r>
    </w:p>
    <w:p w:rsidR="00327381" w:rsidRDefault="00B854E4">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（二）所有涉赛场一律凭</w:t>
      </w:r>
      <w:r w:rsidR="00AA637F">
        <w:rPr>
          <w:rFonts w:ascii="仿宋_GB2312" w:eastAsia="仿宋_GB2312" w:hAnsi="仿宋_GB2312" w:cs="仿宋_GB2312" w:hint="eastAsia"/>
          <w:sz w:val="28"/>
          <w:szCs w:val="28"/>
        </w:rPr>
        <w:t>大赛办统一配发证件进入。</w:t>
      </w:r>
    </w:p>
    <w:p w:rsidR="00327381" w:rsidRDefault="00B854E4">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（三）进入所有涉赛场所人员一律不得携带包、食品、饮料等非大赛</w:t>
      </w:r>
      <w:r w:rsidR="00AA637F">
        <w:rPr>
          <w:rFonts w:ascii="仿宋_GB2312" w:eastAsia="仿宋_GB2312" w:hAnsi="仿宋_GB2312" w:cs="仿宋_GB2312" w:hint="eastAsia"/>
          <w:sz w:val="28"/>
          <w:szCs w:val="28"/>
        </w:rPr>
        <w:t>允许带入的物品。</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（四）所有涉赛场所严禁吸烟。</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（五）人员进入赛场后要严格阅读现场的应急安全疏散图，当发生紧急情况，听到疏散指令（警报声响）时，要迅速按疏散图撤离赛场。</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1.参赛队名称统一使用规定的名称，不使用学校或其他组织、团体名称。</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2.参赛队员在报名获得审核确认后，原则上不再更换，如筹备过程中，队员因故不能参赛，所在校主管部门需出具书面说明并按相关规定补充人员并接受审核；</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开始后，参赛队不得更换参赛队员，允许队员缺席比赛。</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lastRenderedPageBreak/>
        <w:t>3.参赛队按照大赛赛程安排，凭大赛组委会颁发的参赛证和有效身份证件参加比赛。</w:t>
      </w:r>
    </w:p>
    <w:p w:rsidR="00327381" w:rsidRDefault="00AA637F">
      <w:pPr>
        <w:pStyle w:val="5-"/>
        <w:adjustRightInd w:val="0"/>
        <w:snapToGrid w:val="0"/>
        <w:spacing w:beforeLines="0" w:afterLines="0" w:line="580" w:lineRule="atLeast"/>
        <w:ind w:firstLine="560"/>
        <w:rPr>
          <w:rFonts w:ascii="仿宋_GB2312" w:hAnsi="仿宋_GB2312" w:cs="仿宋_GB2312"/>
          <w:szCs w:val="28"/>
        </w:rPr>
      </w:pPr>
      <w:r>
        <w:rPr>
          <w:rFonts w:ascii="仿宋_GB2312" w:hAnsi="仿宋_GB2312" w:cs="仿宋_GB2312" w:hint="eastAsia"/>
          <w:color w:val="000000"/>
          <w:szCs w:val="28"/>
        </w:rPr>
        <w:t>4.参赛院校须为参赛队员购买保险。</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B854E4">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）参赛选手须知</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1.参赛选手应按有关要求如实填报个人信息，否则取消</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资格。</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2.参赛选手凭统一印制的参赛证和有效身份证件参加</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3.参赛选手应认真学习领会本次</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相关文件，自觉遵守大赛纪律，服从指挥，听从安排，文明参赛。</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4.参赛选手请勿携带与</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无关的电子设备、通讯设备及其他资料与用品。</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5.参赛选手应提前30分钟抵达赛场，凭参赛证、身份证件检录，按要求入场，不得迟到早退。</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6.参赛选手应按抽签结果在指定位置就坐。</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7.参赛选手须在确认</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内容和现场设备等无误后开始</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。在</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过程中，如有疑问，参赛选手应持“咨询”示意牌示意，项目裁判长应按照有关要求及时予以答疑。如遇设备或软件等故障，参赛选手应持“故障”示意牌示意，项目裁判长、技术人员等应及时予以解决。如遇身体不适，参赛选手应持“医务”示意牌示意，现场医务人员按应急预案救治。</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8.各参赛选手必须按规范要求操作</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设备。一旦出现较严重的安全事故，经裁判长批准后将立即取消其参赛资格。</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color w:val="000000"/>
          <w:szCs w:val="28"/>
        </w:rPr>
        <w:t>9.</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时间终了，选手应全体起立，结束操作。经现场指挥人员发出指令后，方可离开赛场。</w:t>
      </w:r>
    </w:p>
    <w:p w:rsidR="00327381" w:rsidRDefault="00AA637F">
      <w:pPr>
        <w:pStyle w:val="5-"/>
        <w:adjustRightInd w:val="0"/>
        <w:snapToGrid w:val="0"/>
        <w:spacing w:beforeLines="0" w:afterLines="0" w:line="580" w:lineRule="atLeast"/>
        <w:ind w:firstLine="560"/>
        <w:rPr>
          <w:rFonts w:ascii="仿宋_GB2312" w:hAnsi="仿宋_GB2312" w:cs="仿宋_GB2312"/>
          <w:szCs w:val="28"/>
        </w:rPr>
      </w:pPr>
      <w:r>
        <w:rPr>
          <w:rFonts w:ascii="仿宋_GB2312" w:hAnsi="仿宋_GB2312" w:cs="仿宋_GB2312" w:hint="eastAsia"/>
          <w:color w:val="000000"/>
          <w:szCs w:val="28"/>
        </w:rPr>
        <w:lastRenderedPageBreak/>
        <w:t>10.在</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期间，未经大赛办的批准，参赛选手不得接受其他单位和个人进行的与</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内容相关的采访。参赛选手不得将</w:t>
      </w:r>
      <w:r w:rsidR="00B854E4">
        <w:rPr>
          <w:rFonts w:ascii="仿宋_GB2312" w:hAnsi="仿宋_GB2312" w:cs="仿宋_GB2312" w:hint="eastAsia"/>
          <w:color w:val="000000"/>
          <w:szCs w:val="28"/>
        </w:rPr>
        <w:t>比赛</w:t>
      </w:r>
      <w:r>
        <w:rPr>
          <w:rFonts w:ascii="仿宋_GB2312" w:hAnsi="仿宋_GB2312" w:cs="仿宋_GB2312" w:hint="eastAsia"/>
          <w:color w:val="000000"/>
          <w:szCs w:val="28"/>
        </w:rPr>
        <w:t>的相关信息私自公布。</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B854E4">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）工作人员须知</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1.大赛全体工作人员必须服从组委会统一指挥，认真履行职责，做好比赛服务工作。</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2.全体工作人员要按分工准时到岗，尽职尽责做好份内各项工作，保证比赛顺利进行。</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3.认真检查、核准证件，非参赛选手不准进入赛场。同时，要安排好领队、指导教师休息。</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4.比赛出现技术问题（包括设备、器材等）时，应与及时联系各项技术负责人，妥善处理；如需重新比赛，须得要得到组委会同意后方可进行。</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5.如遇突发事件，要及时向组委会报告，同时做好疏导工作，避免重大事故发生，确保大赛圆满成功。</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6.要认真组织好参赛选手的赛前准备工作，遇有重大问题及时与组委会联系协商解决办法。</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7.各项比赛的技术负责人，一定要坚守岗位，要对比赛技术操作的全过程负责。</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8.工作人员不要在赛场内接听或打电话，负责现场的人员在比赛期间一律关闭手机</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 xml:space="preserve">本赛项在比赛过程中若出现有失公正或有关人员违规等现象，代表队领队可在比赛结束后2小时之内向仲裁组提出书面申诉。书面申诉应对申诉事件的现象、发生时间、涉及人员、申诉依据等进行充分、实事求是的叙述，并由领队亲笔签名。非书面申诉不予受理。 </w:t>
      </w:r>
    </w:p>
    <w:p w:rsidR="00327381" w:rsidRDefault="00AA637F">
      <w:pPr>
        <w:snapToGrid w:val="0"/>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赛项仲裁工作组在接到申诉后的2小时内组织复议，并及时反馈复议结果</w:t>
      </w:r>
      <w:r w:rsidR="00B854E4">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仲裁结果为最终结果。</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赛场内设定观摩区域和参观路线，向媒体、企业代表、院校师生及家长等社会公众开放，不允许有大声喧哗等影响参赛选手</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的行为发生。指导教师不能进入赛场内指导，可以观摩。赛场外设立展览展示区域，设专人接待讲解。</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为保证大赛顺利进行，在观摩期间应遵循以下规则：</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1.除与</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直接有关工作人员、裁判员、参赛选手外，其余人员均为观摩观众。</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2.请勿在选手准备或比赛中交谈或欢呼；请勿对选手打手势，包括哑语沟通等明示、暗示行为，禁止鼓掌喝彩等发出声音的行为。</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3.请勿在观摩赛场地内使用相机、摄影机等一切对比赛正常进行造成干扰的带有闪光灯及快门音的设备。</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00600B7B">
        <w:rPr>
          <w:rFonts w:ascii="仿宋_GB2312" w:eastAsia="仿宋_GB2312" w:hAnsi="仿宋_GB2312" w:cs="仿宋_GB2312" w:hint="eastAsia"/>
          <w:sz w:val="28"/>
          <w:szCs w:val="28"/>
        </w:rPr>
        <w:t>不得违反沈阳</w:t>
      </w:r>
      <w:r>
        <w:rPr>
          <w:rFonts w:ascii="仿宋_GB2312" w:eastAsia="仿宋_GB2312" w:hAnsi="仿宋_GB2312" w:cs="仿宋_GB2312" w:hint="eastAsia"/>
          <w:sz w:val="28"/>
          <w:szCs w:val="28"/>
        </w:rPr>
        <w:t>职业院校技能大赛规定的各项纪律。请站在规划的观摩席或者安全线以外观看比赛，并遵循赛场内工作人员和</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裁判人员的指挥，不得有围攻裁判员、选手或者其他工作人员的行为。</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5.请务必保持赛场清洁，将饮料食品包装、烟头及其他杂物扔进垃圾箱。</w:t>
      </w:r>
    </w:p>
    <w:p w:rsidR="00327381" w:rsidRDefault="00AA637F" w:rsidP="00CB5114">
      <w:pPr>
        <w:spacing w:line="580" w:lineRule="atLeast"/>
        <w:ind w:firstLineChars="221" w:firstLine="619"/>
        <w:rPr>
          <w:rFonts w:ascii="仿宋_GB2312" w:eastAsia="仿宋_GB2312" w:hAnsi="仿宋_GB2312" w:cs="仿宋_GB2312"/>
          <w:sz w:val="28"/>
          <w:szCs w:val="28"/>
        </w:rPr>
      </w:pPr>
      <w:r>
        <w:rPr>
          <w:rFonts w:ascii="仿宋_GB2312" w:eastAsia="仿宋_GB2312" w:hAnsi="仿宋_GB2312" w:cs="仿宋_GB2312" w:hint="eastAsia"/>
          <w:sz w:val="28"/>
          <w:szCs w:val="28"/>
        </w:rPr>
        <w:t>6.观摩期间，严重违纪者除本人被逐出观摩赛场地外，还将视情况严重程度对所在代表队的选手的成绩进行扣分直至取消比赛资格。</w:t>
      </w:r>
    </w:p>
    <w:p w:rsidR="00327381" w:rsidRDefault="00AA637F">
      <w:pPr>
        <w:pStyle w:val="5-"/>
        <w:adjustRightInd w:val="0"/>
        <w:snapToGrid w:val="0"/>
        <w:spacing w:beforeLines="0" w:afterLines="0" w:line="580" w:lineRule="atLeast"/>
        <w:ind w:firstLine="560"/>
        <w:rPr>
          <w:rFonts w:ascii="仿宋_GB2312" w:hAnsi="仿宋_GB2312" w:cs="仿宋_GB2312"/>
          <w:color w:val="000000"/>
          <w:szCs w:val="28"/>
        </w:rPr>
      </w:pPr>
      <w:r>
        <w:rPr>
          <w:rFonts w:ascii="仿宋_GB2312" w:hAnsi="仿宋_GB2312" w:cs="仿宋_GB2312" w:hint="eastAsia"/>
          <w:szCs w:val="28"/>
        </w:rPr>
        <w:t xml:space="preserve">7.如果对裁判裁决产生质疑的，请通过各参赛队领队向赛项仲裁组提出，不得在比赛现场发言。  </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w:t>
      </w:r>
      <w:r w:rsidR="00B854E4">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直播</w:t>
      </w:r>
    </w:p>
    <w:p w:rsidR="00327381" w:rsidRDefault="00AA637F">
      <w:pPr>
        <w:spacing w:line="580" w:lineRule="atLeast"/>
        <w:ind w:firstLineChars="199" w:firstLine="557"/>
        <w:rPr>
          <w:rFonts w:ascii="仿宋_GB2312" w:eastAsia="仿宋_GB2312" w:hAnsi="仿宋_GB2312" w:cs="仿宋_GB2312"/>
          <w:sz w:val="28"/>
          <w:szCs w:val="28"/>
        </w:rPr>
      </w:pPr>
      <w:r>
        <w:rPr>
          <w:rFonts w:ascii="仿宋_GB2312" w:eastAsia="仿宋_GB2312" w:hAnsi="仿宋_GB2312" w:cs="仿宋_GB2312" w:hint="eastAsia"/>
          <w:sz w:val="28"/>
          <w:szCs w:val="28"/>
        </w:rPr>
        <w:t>1.赛场内部署无盲点录像设备，能实时录制并播送赛场情况；</w:t>
      </w:r>
    </w:p>
    <w:p w:rsidR="00327381" w:rsidRDefault="00AA637F">
      <w:pPr>
        <w:spacing w:line="580" w:lineRule="atLeast"/>
        <w:ind w:firstLineChars="49" w:firstLine="137"/>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2.赛场外有大屏幕或投影，同步显示赛场内</w:t>
      </w:r>
      <w:r w:rsidR="00B854E4">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状况；</w:t>
      </w:r>
    </w:p>
    <w:p w:rsidR="00327381" w:rsidRDefault="00AA637F">
      <w:pPr>
        <w:spacing w:line="580" w:lineRule="atLeast"/>
        <w:ind w:firstLineChars="49" w:firstLine="137"/>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3.条件允许时，可以进行网上直播。</w:t>
      </w:r>
    </w:p>
    <w:p w:rsidR="00327381" w:rsidRDefault="00AA637F">
      <w:pPr>
        <w:spacing w:line="580" w:lineRule="atLeast"/>
        <w:ind w:firstLineChars="49" w:firstLine="137"/>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4.多机位拍摄开闭幕式，制作优秀选手采访、优秀指导教师采访、裁判专家点评和企业人士采访视频资料，突出赛项的技能重点与优势特色。为宣传、仲裁、资源转化提供全面的信息资料。</w:t>
      </w:r>
    </w:p>
    <w:p w:rsidR="00327381" w:rsidRDefault="00AA637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十九、资源转化</w:t>
      </w:r>
    </w:p>
    <w:p w:rsidR="00327381" w:rsidRDefault="00AA637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根据赛项有关精神，按照大赛办的要求，完成“蔬菜嫁接”赛项的相关资源转化。</w:t>
      </w:r>
    </w:p>
    <w:p w:rsidR="00327381" w:rsidRDefault="00AA637F" w:rsidP="00CB5114">
      <w:pPr>
        <w:spacing w:line="580" w:lineRule="atLeas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1.基本资源</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hint="eastAsia"/>
          <w:sz w:val="28"/>
          <w:szCs w:val="28"/>
        </w:rPr>
        <w:t>使大赛成为教学资源转化的平台。一是编写大赛指导手册，指导学生规范地进行技能训练；二是对赛项进行分析，将比赛相关内容迁移到课程教学内容之中；三是在教学资源库建设中，增加本项技能大赛的相关内容。</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2.赛项建设的资源</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hint="eastAsia"/>
          <w:sz w:val="28"/>
          <w:szCs w:val="28"/>
        </w:rPr>
        <w:t>本赛项建设的资源有赛项资料文本、视频资料和图片资料等，本赛项资料文本包括本赛项通知、本赛项比赛规则、本赛项比赛规程等；本赛项视频资料主要包括本赛项全程录像资料、优秀选手和优秀指导教师进行采访所拍摄的视频资料，以及裁判专家点评、相关企业人士采访的视频资料等。</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hint="eastAsia"/>
          <w:sz w:val="28"/>
          <w:szCs w:val="28"/>
        </w:rPr>
        <w:t>3.资源转化途径</w:t>
      </w:r>
    </w:p>
    <w:p w:rsidR="00327381" w:rsidRDefault="00AA637F">
      <w:pPr>
        <w:spacing w:line="580" w:lineRule="atLeast"/>
        <w:ind w:firstLineChars="200" w:firstLine="560"/>
        <w:rPr>
          <w:rFonts w:ascii="仿宋_GB2312" w:eastAsia="仿宋_GB2312" w:hAnsi="仿宋"/>
          <w:sz w:val="28"/>
          <w:szCs w:val="28"/>
        </w:rPr>
      </w:pPr>
      <w:r>
        <w:rPr>
          <w:rFonts w:ascii="仿宋_GB2312" w:eastAsia="仿宋_GB2312" w:hAnsi="仿宋" w:hint="eastAsia"/>
          <w:sz w:val="28"/>
          <w:szCs w:val="28"/>
        </w:rPr>
        <w:t>本赛项资源通过师资培训，发放相关资料，达到资源转化的目的；通过各种信息交流（如电话、互访等），向学校和教师推介本赛项的资源，让更多学校和教师了解成果；通过技能大赛网站，共享本赛项的资源，无偿提供给所需单位和个人使用。</w:t>
      </w:r>
    </w:p>
    <w:p w:rsidR="00327381" w:rsidRDefault="00327381">
      <w:pPr>
        <w:spacing w:line="580" w:lineRule="atLeast"/>
        <w:ind w:firstLineChars="200" w:firstLine="560"/>
        <w:rPr>
          <w:rFonts w:ascii="仿宋_GB2312" w:eastAsia="仿宋_GB2312" w:hAnsi="仿宋_GB2312" w:cs="仿宋_GB2312"/>
          <w:sz w:val="28"/>
          <w:szCs w:val="28"/>
        </w:rPr>
      </w:pPr>
    </w:p>
    <w:p w:rsidR="00327381" w:rsidRDefault="00327381">
      <w:pPr>
        <w:snapToGrid w:val="0"/>
        <w:spacing w:line="580" w:lineRule="atLeast"/>
        <w:rPr>
          <w:rFonts w:ascii="Times New Roman" w:eastAsia="仿宋" w:hAnsi="Times New Roman"/>
          <w:bCs/>
          <w:sz w:val="28"/>
          <w:szCs w:val="28"/>
        </w:rPr>
      </w:pPr>
    </w:p>
    <w:sectPr w:rsidR="00327381" w:rsidSect="00327381">
      <w:footerReference w:type="default" r:id="rId7"/>
      <w:pgSz w:w="11906" w:h="16838"/>
      <w:pgMar w:top="1984" w:right="1474" w:bottom="1984" w:left="1474"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0AF" w:rsidRDefault="00C750AF" w:rsidP="00327381">
      <w:r>
        <w:separator/>
      </w:r>
    </w:p>
  </w:endnote>
  <w:endnote w:type="continuationSeparator" w:id="0">
    <w:p w:rsidR="00C750AF" w:rsidRDefault="00C750AF" w:rsidP="003273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6251"/>
      <w:docPartObj>
        <w:docPartGallery w:val="Page Numbers (Bottom of Page)"/>
        <w:docPartUnique/>
      </w:docPartObj>
    </w:sdtPr>
    <w:sdtContent>
      <w:p w:rsidR="00600B7B" w:rsidRDefault="00600B7B">
        <w:pPr>
          <w:pStyle w:val="a6"/>
          <w:jc w:val="center"/>
        </w:pPr>
        <w:fldSimple w:instr=" PAGE   \* MERGEFORMAT ">
          <w:r w:rsidRPr="00600B7B">
            <w:rPr>
              <w:noProof/>
              <w:lang w:val="zh-CN"/>
            </w:rPr>
            <w:t>23</w:t>
          </w:r>
        </w:fldSimple>
      </w:p>
    </w:sdtContent>
  </w:sdt>
  <w:p w:rsidR="00600B7B" w:rsidRDefault="00600B7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0AF" w:rsidRDefault="00C750AF" w:rsidP="00327381">
      <w:r>
        <w:separator/>
      </w:r>
    </w:p>
  </w:footnote>
  <w:footnote w:type="continuationSeparator" w:id="0">
    <w:p w:rsidR="00C750AF" w:rsidRDefault="00C750AF" w:rsidP="003273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2059F"/>
    <w:rsid w:val="00082E8D"/>
    <w:rsid w:val="000858B8"/>
    <w:rsid w:val="000E37A8"/>
    <w:rsid w:val="000F20FD"/>
    <w:rsid w:val="00106D0B"/>
    <w:rsid w:val="00141E76"/>
    <w:rsid w:val="00194821"/>
    <w:rsid w:val="001A5BC6"/>
    <w:rsid w:val="001B1722"/>
    <w:rsid w:val="001B2621"/>
    <w:rsid w:val="001C5EC1"/>
    <w:rsid w:val="00240F6A"/>
    <w:rsid w:val="00257DAE"/>
    <w:rsid w:val="0027695B"/>
    <w:rsid w:val="002E2D4C"/>
    <w:rsid w:val="00310753"/>
    <w:rsid w:val="0031111D"/>
    <w:rsid w:val="00327381"/>
    <w:rsid w:val="00336EDB"/>
    <w:rsid w:val="00395837"/>
    <w:rsid w:val="003B216E"/>
    <w:rsid w:val="003E3AD2"/>
    <w:rsid w:val="00405006"/>
    <w:rsid w:val="00451DD6"/>
    <w:rsid w:val="00463C09"/>
    <w:rsid w:val="00486257"/>
    <w:rsid w:val="00486973"/>
    <w:rsid w:val="00495961"/>
    <w:rsid w:val="004A1AD9"/>
    <w:rsid w:val="004A27F0"/>
    <w:rsid w:val="00524E9E"/>
    <w:rsid w:val="00527983"/>
    <w:rsid w:val="00543880"/>
    <w:rsid w:val="005C3ECA"/>
    <w:rsid w:val="005D4273"/>
    <w:rsid w:val="00600B7B"/>
    <w:rsid w:val="00632127"/>
    <w:rsid w:val="006D6C8B"/>
    <w:rsid w:val="006F7CF8"/>
    <w:rsid w:val="00761A65"/>
    <w:rsid w:val="00764415"/>
    <w:rsid w:val="007664AB"/>
    <w:rsid w:val="0077555D"/>
    <w:rsid w:val="00775B24"/>
    <w:rsid w:val="00795E83"/>
    <w:rsid w:val="007D7DE5"/>
    <w:rsid w:val="00805450"/>
    <w:rsid w:val="00815E73"/>
    <w:rsid w:val="008165FD"/>
    <w:rsid w:val="00834ABE"/>
    <w:rsid w:val="00874004"/>
    <w:rsid w:val="00886E1D"/>
    <w:rsid w:val="008A09DC"/>
    <w:rsid w:val="008B7A30"/>
    <w:rsid w:val="008F50DC"/>
    <w:rsid w:val="00997D57"/>
    <w:rsid w:val="009A5F13"/>
    <w:rsid w:val="00A016CA"/>
    <w:rsid w:val="00A04EAE"/>
    <w:rsid w:val="00A13239"/>
    <w:rsid w:val="00A23AD6"/>
    <w:rsid w:val="00AA637F"/>
    <w:rsid w:val="00AD6815"/>
    <w:rsid w:val="00AF2170"/>
    <w:rsid w:val="00AF58B2"/>
    <w:rsid w:val="00B17AA0"/>
    <w:rsid w:val="00B445E6"/>
    <w:rsid w:val="00B45F04"/>
    <w:rsid w:val="00B56EB3"/>
    <w:rsid w:val="00B73232"/>
    <w:rsid w:val="00B854E4"/>
    <w:rsid w:val="00B9761C"/>
    <w:rsid w:val="00BD4D7B"/>
    <w:rsid w:val="00C21FFC"/>
    <w:rsid w:val="00C37269"/>
    <w:rsid w:val="00C45A9C"/>
    <w:rsid w:val="00C5771C"/>
    <w:rsid w:val="00C61318"/>
    <w:rsid w:val="00C750AF"/>
    <w:rsid w:val="00C90C0D"/>
    <w:rsid w:val="00C9651A"/>
    <w:rsid w:val="00CB5114"/>
    <w:rsid w:val="00CE2F94"/>
    <w:rsid w:val="00D43FB8"/>
    <w:rsid w:val="00DB21C3"/>
    <w:rsid w:val="00DE36E0"/>
    <w:rsid w:val="00E27A2C"/>
    <w:rsid w:val="00E4623A"/>
    <w:rsid w:val="00E526DC"/>
    <w:rsid w:val="00E622B6"/>
    <w:rsid w:val="00EA39B5"/>
    <w:rsid w:val="00EA7C30"/>
    <w:rsid w:val="00EB0A75"/>
    <w:rsid w:val="00EF294C"/>
    <w:rsid w:val="00F154A0"/>
    <w:rsid w:val="00F33532"/>
    <w:rsid w:val="00F34162"/>
    <w:rsid w:val="00F7450C"/>
    <w:rsid w:val="00FA0281"/>
    <w:rsid w:val="12517CCA"/>
    <w:rsid w:val="141C014E"/>
    <w:rsid w:val="19DC4DCC"/>
    <w:rsid w:val="1C6500DA"/>
    <w:rsid w:val="1F2953F9"/>
    <w:rsid w:val="21FF1B04"/>
    <w:rsid w:val="2F031A96"/>
    <w:rsid w:val="37F30A8A"/>
    <w:rsid w:val="3BC460DB"/>
    <w:rsid w:val="3EE475F5"/>
    <w:rsid w:val="407E0545"/>
    <w:rsid w:val="40CF3EBF"/>
    <w:rsid w:val="47B9580E"/>
    <w:rsid w:val="4A047A39"/>
    <w:rsid w:val="4AD961F8"/>
    <w:rsid w:val="4BBA78B1"/>
    <w:rsid w:val="4CD4264F"/>
    <w:rsid w:val="4CF47C43"/>
    <w:rsid w:val="4D370E5D"/>
    <w:rsid w:val="4FC863DA"/>
    <w:rsid w:val="507D3439"/>
    <w:rsid w:val="556B391A"/>
    <w:rsid w:val="567B428F"/>
    <w:rsid w:val="579A679A"/>
    <w:rsid w:val="5914625C"/>
    <w:rsid w:val="5DDB1A6A"/>
    <w:rsid w:val="63B72314"/>
    <w:rsid w:val="67063526"/>
    <w:rsid w:val="6E0473D9"/>
    <w:rsid w:val="6FB06DAF"/>
    <w:rsid w:val="75806A1E"/>
    <w:rsid w:val="76CE1637"/>
    <w:rsid w:val="79D8155A"/>
    <w:rsid w:val="7F2F13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381"/>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327381"/>
    <w:rPr>
      <w:b/>
      <w:bCs/>
    </w:rPr>
  </w:style>
  <w:style w:type="paragraph" w:styleId="a4">
    <w:name w:val="annotation text"/>
    <w:basedOn w:val="a"/>
    <w:link w:val="Char0"/>
    <w:uiPriority w:val="99"/>
    <w:unhideWhenUsed/>
    <w:qFormat/>
    <w:rsid w:val="00327381"/>
    <w:pPr>
      <w:jc w:val="left"/>
    </w:pPr>
  </w:style>
  <w:style w:type="paragraph" w:styleId="a5">
    <w:name w:val="Balloon Text"/>
    <w:basedOn w:val="a"/>
    <w:link w:val="Char1"/>
    <w:uiPriority w:val="99"/>
    <w:semiHidden/>
    <w:unhideWhenUsed/>
    <w:qFormat/>
    <w:rsid w:val="00327381"/>
    <w:rPr>
      <w:sz w:val="18"/>
      <w:szCs w:val="18"/>
    </w:rPr>
  </w:style>
  <w:style w:type="paragraph" w:styleId="a6">
    <w:name w:val="footer"/>
    <w:basedOn w:val="a"/>
    <w:link w:val="Char2"/>
    <w:uiPriority w:val="99"/>
    <w:qFormat/>
    <w:rsid w:val="00327381"/>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semiHidden/>
    <w:unhideWhenUsed/>
    <w:qFormat/>
    <w:rsid w:val="00327381"/>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semiHidden/>
    <w:unhideWhenUsed/>
    <w:qFormat/>
    <w:rsid w:val="00327381"/>
    <w:rPr>
      <w:sz w:val="21"/>
      <w:szCs w:val="21"/>
    </w:rPr>
  </w:style>
  <w:style w:type="table" w:styleId="a9">
    <w:name w:val="Table Grid"/>
    <w:basedOn w:val="a1"/>
    <w:uiPriority w:val="59"/>
    <w:qFormat/>
    <w:rsid w:val="00327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脚 Char"/>
    <w:link w:val="a6"/>
    <w:uiPriority w:val="99"/>
    <w:qFormat/>
    <w:rsid w:val="00327381"/>
    <w:rPr>
      <w:sz w:val="18"/>
      <w:szCs w:val="18"/>
    </w:rPr>
  </w:style>
  <w:style w:type="character" w:customStyle="1" w:styleId="Char10">
    <w:name w:val="页脚 Char1"/>
    <w:basedOn w:val="a0"/>
    <w:uiPriority w:val="99"/>
    <w:semiHidden/>
    <w:qFormat/>
    <w:rsid w:val="00327381"/>
    <w:rPr>
      <w:rFonts w:ascii="Calibri" w:eastAsia="宋体" w:hAnsi="Calibri" w:cs="Times New Roman"/>
      <w:sz w:val="18"/>
      <w:szCs w:val="18"/>
    </w:rPr>
  </w:style>
  <w:style w:type="paragraph" w:customStyle="1" w:styleId="5-">
    <w:name w:val="5-内文"/>
    <w:basedOn w:val="a"/>
    <w:link w:val="5-Char"/>
    <w:uiPriority w:val="99"/>
    <w:qFormat/>
    <w:rsid w:val="00327381"/>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qFormat/>
    <w:locked/>
    <w:rsid w:val="00327381"/>
    <w:rPr>
      <w:rFonts w:ascii="Calibri" w:eastAsia="仿宋_GB2312" w:hAnsi="Calibri" w:cs="Times New Roman"/>
      <w:kern w:val="0"/>
      <w:sz w:val="28"/>
      <w:szCs w:val="20"/>
    </w:rPr>
  </w:style>
  <w:style w:type="character" w:customStyle="1" w:styleId="Char3">
    <w:name w:val="页眉 Char"/>
    <w:basedOn w:val="a0"/>
    <w:link w:val="a7"/>
    <w:uiPriority w:val="99"/>
    <w:semiHidden/>
    <w:qFormat/>
    <w:rsid w:val="00327381"/>
    <w:rPr>
      <w:rFonts w:ascii="Calibri" w:hAnsi="Calibri"/>
      <w:kern w:val="2"/>
      <w:sz w:val="18"/>
      <w:szCs w:val="18"/>
    </w:rPr>
  </w:style>
  <w:style w:type="character" w:customStyle="1" w:styleId="Char0">
    <w:name w:val="批注文字 Char"/>
    <w:basedOn w:val="a0"/>
    <w:link w:val="a4"/>
    <w:uiPriority w:val="99"/>
    <w:semiHidden/>
    <w:qFormat/>
    <w:rsid w:val="00327381"/>
    <w:rPr>
      <w:rFonts w:ascii="Calibri" w:hAnsi="Calibri"/>
      <w:kern w:val="2"/>
      <w:sz w:val="21"/>
      <w:szCs w:val="24"/>
    </w:rPr>
  </w:style>
  <w:style w:type="character" w:customStyle="1" w:styleId="Char">
    <w:name w:val="批注主题 Char"/>
    <w:basedOn w:val="Char0"/>
    <w:link w:val="a3"/>
    <w:uiPriority w:val="99"/>
    <w:semiHidden/>
    <w:qFormat/>
    <w:rsid w:val="00327381"/>
    <w:rPr>
      <w:rFonts w:ascii="Calibri" w:hAnsi="Calibri"/>
      <w:b/>
      <w:bCs/>
      <w:kern w:val="2"/>
      <w:sz w:val="21"/>
      <w:szCs w:val="24"/>
    </w:rPr>
  </w:style>
  <w:style w:type="character" w:customStyle="1" w:styleId="Char1">
    <w:name w:val="批注框文本 Char"/>
    <w:basedOn w:val="a0"/>
    <w:link w:val="a5"/>
    <w:uiPriority w:val="99"/>
    <w:semiHidden/>
    <w:qFormat/>
    <w:rsid w:val="00327381"/>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23</Pages>
  <Words>1501</Words>
  <Characters>8560</Characters>
  <Application>Microsoft Office Word</Application>
  <DocSecurity>0</DocSecurity>
  <Lines>71</Lines>
  <Paragraphs>20</Paragraphs>
  <ScaleCrop>false</ScaleCrop>
  <Company>微软中国</Company>
  <LinksUpToDate>false</LinksUpToDate>
  <CharactersWithSpaces>10041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12</cp:revision>
  <dcterms:created xsi:type="dcterms:W3CDTF">2019-03-17T14:41:00Z</dcterms:created>
  <dcterms:modified xsi:type="dcterms:W3CDTF">2019-08-17T13:56:00Z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