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58A" w:rsidRDefault="0073458A">
      <w:pPr>
        <w:snapToGrid w:val="0"/>
        <w:spacing w:line="580" w:lineRule="exact"/>
        <w:rPr>
          <w:rFonts w:ascii="黑体" w:eastAsia="黑体" w:hAnsi="黑体" w:cs="黑体"/>
          <w:b/>
          <w:sz w:val="36"/>
          <w:szCs w:val="36"/>
        </w:rPr>
      </w:pPr>
      <w:bookmarkStart w:id="0" w:name="_GoBack"/>
    </w:p>
    <w:p w:rsidR="0073458A" w:rsidRDefault="00B9166C">
      <w:pPr>
        <w:snapToGrid w:val="0"/>
        <w:spacing w:line="580" w:lineRule="exact"/>
        <w:jc w:val="center"/>
        <w:rPr>
          <w:rFonts w:ascii="黑体" w:eastAsia="黑体" w:hAnsi="黑体" w:cs="黑体"/>
          <w:b/>
          <w:sz w:val="36"/>
          <w:szCs w:val="36"/>
        </w:rPr>
      </w:pPr>
      <w:r>
        <w:rPr>
          <w:rFonts w:ascii="黑体" w:eastAsia="黑体" w:hAnsi="黑体" w:cs="黑体" w:hint="eastAsia"/>
          <w:b/>
          <w:sz w:val="36"/>
          <w:szCs w:val="36"/>
        </w:rPr>
        <w:t>2019</w:t>
      </w:r>
      <w:r>
        <w:rPr>
          <w:rFonts w:ascii="黑体" w:eastAsia="黑体" w:hAnsi="黑体" w:cs="黑体" w:hint="eastAsia"/>
          <w:b/>
          <w:sz w:val="36"/>
          <w:szCs w:val="36"/>
        </w:rPr>
        <w:t>年</w:t>
      </w:r>
      <w:r>
        <w:rPr>
          <w:rFonts w:ascii="黑体" w:eastAsia="黑体" w:hAnsi="黑体" w:cs="黑体" w:hint="eastAsia"/>
          <w:b/>
          <w:sz w:val="36"/>
          <w:szCs w:val="36"/>
        </w:rPr>
        <w:t>沈阳</w:t>
      </w:r>
      <w:r>
        <w:rPr>
          <w:rFonts w:ascii="黑体" w:eastAsia="黑体" w:hAnsi="黑体" w:cs="黑体" w:hint="eastAsia"/>
          <w:b/>
          <w:sz w:val="36"/>
          <w:szCs w:val="36"/>
        </w:rPr>
        <w:t>职业院校技能大赛</w:t>
      </w:r>
    </w:p>
    <w:p w:rsidR="0073458A" w:rsidRDefault="00B9166C">
      <w:pPr>
        <w:snapToGrid w:val="0"/>
        <w:spacing w:line="580" w:lineRule="exact"/>
        <w:jc w:val="center"/>
        <w:rPr>
          <w:rFonts w:ascii="黑体" w:eastAsia="黑体" w:hAnsi="黑体" w:cs="黑体"/>
          <w:b/>
          <w:sz w:val="36"/>
          <w:szCs w:val="36"/>
        </w:rPr>
      </w:pPr>
      <w:r>
        <w:rPr>
          <w:rFonts w:ascii="黑体" w:eastAsia="黑体" w:hAnsi="黑体" w:cs="黑体" w:hint="eastAsia"/>
          <w:b/>
          <w:sz w:val="36"/>
          <w:szCs w:val="36"/>
        </w:rPr>
        <w:t>中职学生组</w:t>
      </w:r>
      <w:r>
        <w:rPr>
          <w:rFonts w:ascii="黑体" w:eastAsia="黑体" w:hAnsi="黑体" w:cs="黑体" w:hint="eastAsia"/>
          <w:b/>
          <w:sz w:val="36"/>
          <w:szCs w:val="36"/>
        </w:rPr>
        <w:t>赛项规程</w:t>
      </w:r>
    </w:p>
    <w:p w:rsidR="0073458A" w:rsidRDefault="0073458A">
      <w:pPr>
        <w:snapToGrid w:val="0"/>
        <w:spacing w:line="580" w:lineRule="exact"/>
        <w:jc w:val="center"/>
        <w:rPr>
          <w:rFonts w:ascii="黑体" w:eastAsia="黑体" w:hAnsi="黑体" w:cs="黑体"/>
          <w:b/>
          <w:sz w:val="36"/>
          <w:szCs w:val="36"/>
        </w:rPr>
      </w:pP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p>
    <w:p w:rsidR="0073458A" w:rsidRDefault="00B9166C">
      <w:pPr>
        <w:spacing w:line="580" w:lineRule="exact"/>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赛项编号：</w:t>
      </w:r>
      <w:r w:rsidR="00D7515E">
        <w:rPr>
          <w:rFonts w:ascii="仿宋_GB2312" w:eastAsia="仿宋_GB2312" w:hAnsi="仿宋_GB2312" w:cs="仿宋_GB2312" w:hint="eastAsia"/>
          <w:sz w:val="28"/>
          <w:szCs w:val="28"/>
        </w:rPr>
        <w:t>ZZXS-19001</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赛项名称：蔬菜嫁接</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赛项组别：中职</w:t>
      </w:r>
      <w:r>
        <w:rPr>
          <w:rFonts w:ascii="仿宋_GB2312" w:eastAsia="仿宋_GB2312" w:hAnsi="仿宋_GB2312" w:cs="仿宋_GB2312" w:hint="eastAsia"/>
          <w:sz w:val="28"/>
          <w:szCs w:val="28"/>
        </w:rPr>
        <w:t>学生</w:t>
      </w:r>
      <w:r>
        <w:rPr>
          <w:rFonts w:ascii="仿宋_GB2312" w:eastAsia="仿宋_GB2312" w:hAnsi="仿宋_GB2312" w:cs="仿宋_GB2312" w:hint="eastAsia"/>
          <w:sz w:val="28"/>
          <w:szCs w:val="28"/>
        </w:rPr>
        <w:t>组</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赛项归属：农林牧渔类</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目的</w:t>
      </w:r>
    </w:p>
    <w:p w:rsidR="0073458A" w:rsidRDefault="00B9166C">
      <w:pPr>
        <w:spacing w:line="580" w:lineRule="exact"/>
        <w:ind w:firstLineChars="200" w:firstLine="560"/>
        <w:rPr>
          <w:rFonts w:ascii="仿宋_GB2312" w:eastAsia="仿宋_GB2312" w:hAnsi="仿宋_GB2312" w:cs="仿宋_GB2312"/>
          <w:kern w:val="0"/>
          <w:sz w:val="28"/>
          <w:szCs w:val="28"/>
        </w:rPr>
      </w:pPr>
      <w:r>
        <w:rPr>
          <w:rFonts w:ascii="仿宋_GB2312" w:eastAsia="仿宋_GB2312" w:hAnsi="仿宋" w:hint="eastAsia"/>
          <w:sz w:val="28"/>
          <w:szCs w:val="28"/>
        </w:rPr>
        <w:t>通过本赛项，考核与展示园艺技术类专业学生的</w:t>
      </w:r>
      <w:r>
        <w:rPr>
          <w:rFonts w:ascii="仿宋_GB2312" w:eastAsia="仿宋_GB2312" w:hAnsi="仿宋_GB2312" w:cs="仿宋_GB2312" w:hint="eastAsia"/>
          <w:color w:val="000000"/>
          <w:sz w:val="28"/>
          <w:szCs w:val="28"/>
        </w:rPr>
        <w:t>营养液配制</w:t>
      </w:r>
      <w:r>
        <w:rPr>
          <w:rFonts w:ascii="仿宋_GB2312" w:eastAsia="仿宋_GB2312" w:hAnsi="仿宋_GB2312" w:cs="仿宋_GB2312" w:hint="eastAsia"/>
          <w:color w:val="000000"/>
          <w:sz w:val="28"/>
          <w:szCs w:val="28"/>
        </w:rPr>
        <w:t>、蔬菜</w:t>
      </w:r>
      <w:r>
        <w:rPr>
          <w:rFonts w:ascii="仿宋_GB2312" w:eastAsia="仿宋_GB2312" w:hAnsi="仿宋_GB2312" w:cs="仿宋_GB2312" w:hint="eastAsia"/>
          <w:color w:val="000000"/>
          <w:sz w:val="28"/>
          <w:szCs w:val="28"/>
        </w:rPr>
        <w:t>嫁接操作</w:t>
      </w:r>
      <w:r>
        <w:rPr>
          <w:rFonts w:ascii="仿宋_GB2312" w:eastAsia="仿宋_GB2312" w:hAnsi="仿宋" w:hint="eastAsia"/>
          <w:sz w:val="28"/>
          <w:szCs w:val="28"/>
        </w:rPr>
        <w:t>技能知识；培养学生的实践操作及生产管理能力，提升学生的职业能力；推进园艺技术及相关专业建设与教学改革，实现专业与产业对接、课程内容与职业标准对接、教学过程与生产过程对接，培养适应现代园艺产业发展趋势，促进园艺类专业建设与教学改革，提高职业教育的社会认可度；推进学校与相关园艺企业深度合作，更好地实现工学结合的人才培养模式，为园艺行业培养高素质技能型人才</w:t>
      </w:r>
      <w:r>
        <w:rPr>
          <w:rFonts w:ascii="仿宋_GB2312" w:eastAsia="仿宋_GB2312" w:hAnsi="仿宋" w:hint="eastAsia"/>
          <w:sz w:val="28"/>
          <w:szCs w:val="28"/>
        </w:rPr>
        <w:t>，</w:t>
      </w:r>
      <w:r>
        <w:rPr>
          <w:rFonts w:ascii="仿宋_GB2312" w:eastAsia="仿宋_GB2312" w:hAnsi="仿宋_GB2312" w:cs="仿宋_GB2312" w:hint="eastAsia"/>
          <w:kern w:val="0"/>
          <w:sz w:val="28"/>
          <w:szCs w:val="28"/>
        </w:rPr>
        <w:t>为乡村振兴和农业科技人才队伍培养提供支撑。</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内容</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本赛项以教育部颁布的职业学校相关专业教学指导方案，以国家职业技能培训鉴定《蔬菜园艺工》（中级）规定的</w:t>
      </w:r>
      <w:r>
        <w:rPr>
          <w:rFonts w:ascii="仿宋_GB2312" w:eastAsia="仿宋_GB2312" w:hAnsi="仿宋_GB2312" w:cs="仿宋_GB2312" w:hint="eastAsia"/>
          <w:color w:val="000000"/>
          <w:sz w:val="28"/>
          <w:szCs w:val="28"/>
        </w:rPr>
        <w:t>实践操作技能要求设置</w:t>
      </w:r>
      <w:r w:rsidR="00D7515E">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项目，主要包括营养液配制、嫁接操作两个部分。技能</w:t>
      </w:r>
      <w:r w:rsidR="00D7515E">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时间为</w:t>
      </w:r>
      <w:r>
        <w:rPr>
          <w:rFonts w:ascii="仿宋_GB2312" w:eastAsia="仿宋_GB2312" w:hAnsi="仿宋_GB2312" w:cs="仿宋_GB2312" w:hint="eastAsia"/>
          <w:color w:val="000000"/>
          <w:sz w:val="28"/>
          <w:szCs w:val="28"/>
        </w:rPr>
        <w:t>100</w:t>
      </w:r>
      <w:r>
        <w:rPr>
          <w:rFonts w:ascii="仿宋_GB2312" w:eastAsia="仿宋_GB2312" w:hAnsi="仿宋_GB2312" w:cs="仿宋_GB2312" w:hint="eastAsia"/>
          <w:color w:val="000000"/>
          <w:sz w:val="28"/>
          <w:szCs w:val="28"/>
        </w:rPr>
        <w:t>分钟，其中营养液配制</w:t>
      </w:r>
      <w:r>
        <w:rPr>
          <w:rFonts w:ascii="仿宋_GB2312" w:eastAsia="仿宋_GB2312" w:hAnsi="仿宋_GB2312" w:cs="仿宋_GB2312" w:hint="eastAsia"/>
          <w:color w:val="000000"/>
          <w:sz w:val="28"/>
          <w:szCs w:val="28"/>
        </w:rPr>
        <w:t>60</w:t>
      </w:r>
      <w:r>
        <w:rPr>
          <w:rFonts w:ascii="仿宋_GB2312" w:eastAsia="仿宋_GB2312" w:hAnsi="仿宋_GB2312" w:cs="仿宋_GB2312" w:hint="eastAsia"/>
          <w:color w:val="000000"/>
          <w:sz w:val="28"/>
          <w:szCs w:val="28"/>
        </w:rPr>
        <w:t>分钟、嫁接操作</w:t>
      </w:r>
      <w:r>
        <w:rPr>
          <w:rFonts w:ascii="仿宋_GB2312" w:eastAsia="仿宋_GB2312" w:hAnsi="仿宋_GB2312" w:cs="仿宋_GB2312" w:hint="eastAsia"/>
          <w:color w:val="000000"/>
          <w:sz w:val="28"/>
          <w:szCs w:val="28"/>
        </w:rPr>
        <w:t>40</w:t>
      </w:r>
      <w:r>
        <w:rPr>
          <w:rFonts w:ascii="仿宋_GB2312" w:eastAsia="仿宋_GB2312" w:hAnsi="仿宋_GB2312" w:cs="仿宋_GB2312" w:hint="eastAsia"/>
          <w:color w:val="000000"/>
          <w:sz w:val="28"/>
          <w:szCs w:val="28"/>
        </w:rPr>
        <w:t>分钟；总分采用</w:t>
      </w:r>
      <w:r>
        <w:rPr>
          <w:rFonts w:ascii="仿宋_GB2312" w:eastAsia="仿宋_GB2312" w:hAnsi="仿宋_GB2312" w:cs="仿宋_GB2312" w:hint="eastAsia"/>
          <w:color w:val="000000"/>
          <w:sz w:val="28"/>
          <w:szCs w:val="28"/>
        </w:rPr>
        <w:t>100</w:t>
      </w:r>
      <w:r>
        <w:rPr>
          <w:rFonts w:ascii="仿宋_GB2312" w:eastAsia="仿宋_GB2312" w:hAnsi="仿宋_GB2312" w:cs="仿宋_GB2312" w:hint="eastAsia"/>
          <w:color w:val="000000" w:themeColor="text1"/>
          <w:sz w:val="28"/>
          <w:szCs w:val="28"/>
        </w:rPr>
        <w:t>分制</w:t>
      </w:r>
      <w:r>
        <w:rPr>
          <w:rFonts w:ascii="仿宋_GB2312" w:eastAsia="仿宋_GB2312" w:hAnsi="仿宋_GB2312" w:cs="仿宋_GB2312" w:hint="eastAsia"/>
          <w:color w:val="000000"/>
          <w:sz w:val="28"/>
          <w:szCs w:val="28"/>
        </w:rPr>
        <w:t>，其中营养液配制</w:t>
      </w:r>
      <w:r>
        <w:rPr>
          <w:rFonts w:ascii="仿宋_GB2312" w:eastAsia="仿宋_GB2312" w:hAnsi="仿宋_GB2312" w:cs="仿宋_GB2312" w:hint="eastAsia"/>
          <w:color w:val="000000"/>
          <w:sz w:val="28"/>
          <w:szCs w:val="28"/>
        </w:rPr>
        <w:t>40</w:t>
      </w:r>
      <w:r>
        <w:rPr>
          <w:rFonts w:ascii="仿宋_GB2312" w:eastAsia="仿宋_GB2312" w:hAnsi="仿宋_GB2312" w:cs="仿宋_GB2312" w:hint="eastAsia"/>
          <w:color w:val="000000"/>
          <w:sz w:val="28"/>
          <w:szCs w:val="28"/>
        </w:rPr>
        <w:t>分、嫁接操作</w:t>
      </w:r>
      <w:r>
        <w:rPr>
          <w:rFonts w:ascii="仿宋_GB2312" w:eastAsia="仿宋_GB2312" w:hAnsi="仿宋_GB2312" w:cs="仿宋_GB2312" w:hint="eastAsia"/>
          <w:color w:val="000000"/>
          <w:sz w:val="28"/>
          <w:szCs w:val="28"/>
        </w:rPr>
        <w:t>60</w:t>
      </w:r>
      <w:r>
        <w:rPr>
          <w:rFonts w:ascii="仿宋_GB2312" w:eastAsia="仿宋_GB2312" w:hAnsi="仿宋_GB2312" w:cs="仿宋_GB2312" w:hint="eastAsia"/>
          <w:color w:val="000000"/>
          <w:sz w:val="28"/>
          <w:szCs w:val="28"/>
        </w:rPr>
        <w:t>分。具体</w:t>
      </w:r>
      <w:r w:rsidR="00D7515E">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内</w:t>
      </w:r>
      <w:r>
        <w:rPr>
          <w:rFonts w:ascii="仿宋_GB2312" w:eastAsia="仿宋_GB2312" w:hAnsi="仿宋_GB2312" w:cs="仿宋_GB2312" w:hint="eastAsia"/>
          <w:color w:val="000000"/>
          <w:sz w:val="28"/>
          <w:szCs w:val="28"/>
        </w:rPr>
        <w:lastRenderedPageBreak/>
        <w:t>容及其考核知识点与技能要求如下：</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（一）营养液配制</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在规定的</w:t>
      </w:r>
      <w:r>
        <w:rPr>
          <w:rFonts w:ascii="仿宋_GB2312" w:eastAsia="仿宋_GB2312" w:hAnsi="仿宋_GB2312" w:cs="仿宋_GB2312" w:hint="eastAsia"/>
          <w:color w:val="000000"/>
          <w:sz w:val="28"/>
          <w:szCs w:val="28"/>
        </w:rPr>
        <w:t>60</w:t>
      </w:r>
      <w:r>
        <w:rPr>
          <w:rFonts w:ascii="仿宋_GB2312" w:eastAsia="仿宋_GB2312" w:hAnsi="仿宋_GB2312" w:cs="仿宋_GB2312" w:hint="eastAsia"/>
          <w:color w:val="000000"/>
          <w:sz w:val="28"/>
          <w:szCs w:val="28"/>
        </w:rPr>
        <w:t>分钟时间内独立完成园试配方部分化合物的母液配制和工作液配制，具体内容如下：</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母液配制</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根据园试配方母液配制要求进行计算（浓缩液倍数和配制母液体积在试题中给出），将称取量计算结果填入对应试题空格中，使用天平称取各试剂的量，配制</w:t>
      </w:r>
      <w:r>
        <w:rPr>
          <w:rFonts w:ascii="仿宋_GB2312" w:eastAsia="仿宋_GB2312" w:hAnsi="仿宋_GB2312" w:cs="仿宋_GB2312" w:hint="eastAsia"/>
          <w:color w:val="000000"/>
          <w:sz w:val="28"/>
          <w:szCs w:val="28"/>
        </w:rPr>
        <w:t>A</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B</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C</w:t>
      </w:r>
      <w:r>
        <w:rPr>
          <w:rFonts w:ascii="仿宋_GB2312" w:eastAsia="仿宋_GB2312" w:hAnsi="仿宋_GB2312" w:cs="仿宋_GB2312" w:hint="eastAsia"/>
          <w:color w:val="000000"/>
          <w:sz w:val="28"/>
          <w:szCs w:val="28"/>
        </w:rPr>
        <w:t>三种浓</w:t>
      </w:r>
      <w:r>
        <w:rPr>
          <w:rFonts w:ascii="仿宋_GB2312" w:eastAsia="仿宋_GB2312" w:hAnsi="仿宋_GB2312" w:cs="仿宋_GB2312" w:hint="eastAsia"/>
          <w:color w:val="000000"/>
          <w:sz w:val="28"/>
          <w:szCs w:val="28"/>
        </w:rPr>
        <w:t>缩母液并分别存放在试剂瓶中，见表</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w:t>
      </w:r>
    </w:p>
    <w:p w:rsidR="0073458A" w:rsidRDefault="0073458A">
      <w:pPr>
        <w:spacing w:line="580" w:lineRule="exact"/>
        <w:jc w:val="center"/>
        <w:rPr>
          <w:rFonts w:ascii="仿宋_GB2312" w:eastAsia="仿宋_GB2312" w:hAnsi="仿宋_GB2312" w:cs="仿宋_GB2312"/>
          <w:b/>
          <w:color w:val="000000"/>
          <w:sz w:val="28"/>
          <w:szCs w:val="28"/>
        </w:rPr>
      </w:pPr>
    </w:p>
    <w:p w:rsidR="0073458A" w:rsidRDefault="00B9166C">
      <w:pPr>
        <w:spacing w:line="580" w:lineRule="exac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w:t>
      </w:r>
      <w:r>
        <w:rPr>
          <w:rFonts w:ascii="仿宋_GB2312" w:eastAsia="仿宋_GB2312" w:hAnsi="仿宋_GB2312" w:cs="仿宋_GB2312" w:hint="eastAsia"/>
          <w:b/>
          <w:color w:val="000000"/>
          <w:sz w:val="28"/>
          <w:szCs w:val="28"/>
        </w:rPr>
        <w:t xml:space="preserve">1 </w:t>
      </w:r>
      <w:r>
        <w:rPr>
          <w:rFonts w:ascii="仿宋_GB2312" w:eastAsia="仿宋_GB2312" w:hAnsi="仿宋_GB2312" w:cs="仿宋_GB2312" w:hint="eastAsia"/>
          <w:b/>
          <w:color w:val="000000"/>
          <w:sz w:val="28"/>
          <w:szCs w:val="28"/>
        </w:rPr>
        <w:t>母液配制</w:t>
      </w:r>
    </w:p>
    <w:tbl>
      <w:tblPr>
        <w:tblW w:w="8515" w:type="dxa"/>
        <w:jc w:val="center"/>
        <w:tblLayout w:type="fixed"/>
        <w:tblLook w:val="04A0"/>
      </w:tblPr>
      <w:tblGrid>
        <w:gridCol w:w="1569"/>
        <w:gridCol w:w="1938"/>
        <w:gridCol w:w="1321"/>
        <w:gridCol w:w="756"/>
        <w:gridCol w:w="971"/>
        <w:gridCol w:w="898"/>
        <w:gridCol w:w="1062"/>
      </w:tblGrid>
      <w:tr w:rsidR="0073458A">
        <w:trPr>
          <w:trHeight w:val="219"/>
          <w:jc w:val="center"/>
        </w:trPr>
        <w:tc>
          <w:tcPr>
            <w:tcW w:w="1569"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193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成份</w:t>
            </w:r>
          </w:p>
        </w:tc>
        <w:tc>
          <w:tcPr>
            <w:tcW w:w="132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标准用量</w:t>
            </w:r>
            <w:r>
              <w:rPr>
                <w:rFonts w:ascii="仿宋_GB2312" w:eastAsia="仿宋_GB2312" w:hAnsi="仿宋_GB2312" w:cs="仿宋_GB2312" w:hint="eastAsia"/>
                <w:bCs/>
                <w:color w:val="000000"/>
                <w:sz w:val="24"/>
              </w:rPr>
              <w:t>(mg/L)</w:t>
            </w:r>
          </w:p>
        </w:tc>
        <w:tc>
          <w:tcPr>
            <w:tcW w:w="756"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浓缩倍数</w:t>
            </w:r>
          </w:p>
        </w:tc>
        <w:tc>
          <w:tcPr>
            <w:tcW w:w="97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配制母液体积</w:t>
            </w:r>
            <w:r>
              <w:rPr>
                <w:rFonts w:ascii="仿宋_GB2312" w:eastAsia="仿宋_GB2312" w:hAnsi="仿宋_GB2312" w:cs="仿宋_GB2312" w:hint="eastAsia"/>
                <w:bCs/>
                <w:color w:val="000000"/>
                <w:sz w:val="24"/>
              </w:rPr>
              <w:t>(ml)</w:t>
            </w:r>
          </w:p>
        </w:tc>
        <w:tc>
          <w:tcPr>
            <w:tcW w:w="89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理论计算值</w:t>
            </w:r>
            <w:r>
              <w:rPr>
                <w:rFonts w:ascii="仿宋_GB2312" w:eastAsia="仿宋_GB2312" w:hAnsi="仿宋_GB2312" w:cs="仿宋_GB2312" w:hint="eastAsia"/>
                <w:bCs/>
                <w:color w:val="000000"/>
                <w:sz w:val="24"/>
              </w:rPr>
              <w:t>(g)</w:t>
            </w:r>
          </w:p>
        </w:tc>
        <w:tc>
          <w:tcPr>
            <w:tcW w:w="1062"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实际称量值</w:t>
            </w:r>
            <w:r>
              <w:rPr>
                <w:rFonts w:ascii="仿宋_GB2312" w:eastAsia="仿宋_GB2312" w:hAnsi="仿宋_GB2312" w:cs="仿宋_GB2312" w:hint="eastAsia"/>
                <w:bCs/>
                <w:color w:val="000000"/>
                <w:sz w:val="24"/>
              </w:rPr>
              <w:t>(g)</w:t>
            </w:r>
          </w:p>
        </w:tc>
      </w:tr>
      <w:tr w:rsidR="0073458A">
        <w:trPr>
          <w:trHeight w:val="454"/>
          <w:jc w:val="center"/>
        </w:trPr>
        <w:tc>
          <w:tcPr>
            <w:tcW w:w="1569"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A</w:t>
            </w:r>
            <w:r>
              <w:rPr>
                <w:rFonts w:ascii="仿宋_GB2312" w:eastAsia="仿宋_GB2312" w:hAnsi="仿宋_GB2312" w:cs="仿宋_GB2312" w:hint="eastAsia"/>
                <w:bCs/>
                <w:sz w:val="24"/>
              </w:rPr>
              <w:t>液</w:t>
            </w:r>
          </w:p>
        </w:tc>
        <w:tc>
          <w:tcPr>
            <w:tcW w:w="193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Ca(NO</w:t>
            </w:r>
            <w:r>
              <w:rPr>
                <w:rFonts w:ascii="仿宋_GB2312" w:eastAsia="仿宋_GB2312" w:hAnsi="仿宋_GB2312" w:cs="仿宋_GB2312" w:hint="eastAsia"/>
                <w:bCs/>
                <w:sz w:val="24"/>
                <w:vertAlign w:val="subscript"/>
              </w:rPr>
              <w:t>3</w:t>
            </w:r>
            <w:r>
              <w:rPr>
                <w:rFonts w:ascii="仿宋_GB2312" w:eastAsia="仿宋_GB2312" w:hAnsi="仿宋_GB2312" w:cs="仿宋_GB2312" w:hint="eastAsia"/>
                <w:bCs/>
                <w:sz w:val="24"/>
              </w:rPr>
              <w:t>)</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w:t>
            </w:r>
            <w:r>
              <w:rPr>
                <w:rFonts w:ascii="仿宋_GB2312" w:eastAsia="仿宋_GB2312" w:hAnsi="仿宋_GB2312" w:cs="仿宋_GB2312" w:hint="eastAsia"/>
                <w:bCs/>
                <w:sz w:val="24"/>
              </w:rPr>
              <w:t>4H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O</w:t>
            </w:r>
          </w:p>
        </w:tc>
        <w:tc>
          <w:tcPr>
            <w:tcW w:w="132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945</w:t>
            </w:r>
          </w:p>
        </w:tc>
        <w:tc>
          <w:tcPr>
            <w:tcW w:w="756"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971"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73458A" w:rsidRDefault="0073458A">
            <w:pPr>
              <w:spacing w:line="580" w:lineRule="exact"/>
              <w:jc w:val="center"/>
              <w:rPr>
                <w:rFonts w:ascii="仿宋_GB2312" w:eastAsia="仿宋_GB2312" w:hAnsi="仿宋_GB2312" w:cs="仿宋_GB2312"/>
                <w:bCs/>
                <w:sz w:val="24"/>
              </w:rPr>
            </w:pPr>
          </w:p>
        </w:tc>
      </w:tr>
      <w:tr w:rsidR="0073458A">
        <w:trPr>
          <w:trHeight w:val="454"/>
          <w:jc w:val="center"/>
        </w:trPr>
        <w:tc>
          <w:tcPr>
            <w:tcW w:w="1569"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B</w:t>
            </w:r>
            <w:r>
              <w:rPr>
                <w:rFonts w:ascii="仿宋_GB2312" w:eastAsia="仿宋_GB2312" w:hAnsi="仿宋_GB2312" w:cs="仿宋_GB2312" w:hint="eastAsia"/>
                <w:bCs/>
                <w:sz w:val="24"/>
              </w:rPr>
              <w:t>液</w:t>
            </w:r>
          </w:p>
        </w:tc>
        <w:tc>
          <w:tcPr>
            <w:tcW w:w="193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NH</w:t>
            </w:r>
            <w:r>
              <w:rPr>
                <w:rFonts w:ascii="仿宋_GB2312" w:eastAsia="仿宋_GB2312" w:hAnsi="仿宋_GB2312" w:cs="仿宋_GB2312" w:hint="eastAsia"/>
                <w:bCs/>
                <w:sz w:val="24"/>
                <w:vertAlign w:val="subscript"/>
              </w:rPr>
              <w:t>4</w:t>
            </w:r>
            <w:r>
              <w:rPr>
                <w:rFonts w:ascii="仿宋_GB2312" w:eastAsia="仿宋_GB2312" w:hAnsi="仿宋_GB2312" w:cs="仿宋_GB2312" w:hint="eastAsia"/>
                <w:bCs/>
                <w:sz w:val="24"/>
              </w:rPr>
              <w:t>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PO</w:t>
            </w:r>
            <w:r>
              <w:rPr>
                <w:rFonts w:ascii="仿宋_GB2312" w:eastAsia="仿宋_GB2312" w:hAnsi="仿宋_GB2312" w:cs="仿宋_GB2312" w:hint="eastAsia"/>
                <w:bCs/>
                <w:sz w:val="24"/>
                <w:vertAlign w:val="subscript"/>
              </w:rPr>
              <w:t>4</w:t>
            </w:r>
          </w:p>
        </w:tc>
        <w:tc>
          <w:tcPr>
            <w:tcW w:w="132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153</w:t>
            </w:r>
          </w:p>
        </w:tc>
        <w:tc>
          <w:tcPr>
            <w:tcW w:w="756"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971"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73458A" w:rsidRDefault="0073458A">
            <w:pPr>
              <w:spacing w:line="580" w:lineRule="exact"/>
              <w:jc w:val="center"/>
              <w:rPr>
                <w:rFonts w:ascii="仿宋_GB2312" w:eastAsia="仿宋_GB2312" w:hAnsi="仿宋_GB2312" w:cs="仿宋_GB2312"/>
                <w:bCs/>
                <w:sz w:val="24"/>
              </w:rPr>
            </w:pPr>
          </w:p>
        </w:tc>
      </w:tr>
      <w:tr w:rsidR="0073458A">
        <w:trPr>
          <w:trHeight w:val="454"/>
          <w:jc w:val="center"/>
        </w:trPr>
        <w:tc>
          <w:tcPr>
            <w:tcW w:w="1569" w:type="dxa"/>
            <w:vMerge w:val="restart"/>
            <w:tcBorders>
              <w:top w:val="single" w:sz="4" w:space="0" w:color="auto"/>
              <w:left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C</w:t>
            </w:r>
            <w:r>
              <w:rPr>
                <w:rFonts w:ascii="仿宋_GB2312" w:eastAsia="仿宋_GB2312" w:hAnsi="仿宋_GB2312" w:cs="仿宋_GB2312" w:hint="eastAsia"/>
                <w:bCs/>
                <w:sz w:val="24"/>
              </w:rPr>
              <w:t>液</w:t>
            </w:r>
          </w:p>
        </w:tc>
        <w:tc>
          <w:tcPr>
            <w:tcW w:w="193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FeSO</w:t>
            </w:r>
            <w:r>
              <w:rPr>
                <w:rFonts w:ascii="仿宋_GB2312" w:eastAsia="仿宋_GB2312" w:hAnsi="仿宋_GB2312" w:cs="仿宋_GB2312" w:hint="eastAsia"/>
                <w:bCs/>
                <w:sz w:val="24"/>
                <w:vertAlign w:val="subscript"/>
              </w:rPr>
              <w:t>4</w:t>
            </w:r>
            <w:r>
              <w:rPr>
                <w:rFonts w:ascii="仿宋_GB2312" w:eastAsia="仿宋_GB2312" w:hAnsi="仿宋_GB2312" w:cs="仿宋_GB2312" w:hint="eastAsia"/>
                <w:bCs/>
                <w:sz w:val="24"/>
              </w:rPr>
              <w:t>﹒</w:t>
            </w:r>
            <w:r>
              <w:rPr>
                <w:rFonts w:ascii="仿宋_GB2312" w:eastAsia="仿宋_GB2312" w:hAnsi="仿宋_GB2312" w:cs="仿宋_GB2312" w:hint="eastAsia"/>
                <w:bCs/>
                <w:sz w:val="24"/>
              </w:rPr>
              <w:t>7H</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O</w:t>
            </w:r>
          </w:p>
        </w:tc>
        <w:tc>
          <w:tcPr>
            <w:tcW w:w="132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13.9</w:t>
            </w:r>
          </w:p>
        </w:tc>
        <w:tc>
          <w:tcPr>
            <w:tcW w:w="756" w:type="dxa"/>
            <w:vMerge w:val="restart"/>
            <w:tcBorders>
              <w:top w:val="single" w:sz="4" w:space="0" w:color="auto"/>
              <w:left w:val="nil"/>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971" w:type="dxa"/>
            <w:vMerge w:val="restart"/>
            <w:tcBorders>
              <w:top w:val="single" w:sz="4" w:space="0" w:color="auto"/>
              <w:left w:val="nil"/>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73458A" w:rsidRDefault="0073458A">
            <w:pPr>
              <w:spacing w:line="580" w:lineRule="exact"/>
              <w:jc w:val="center"/>
              <w:rPr>
                <w:rFonts w:ascii="仿宋_GB2312" w:eastAsia="仿宋_GB2312" w:hAnsi="仿宋_GB2312" w:cs="仿宋_GB2312"/>
                <w:bCs/>
                <w:sz w:val="24"/>
              </w:rPr>
            </w:pPr>
          </w:p>
        </w:tc>
      </w:tr>
      <w:tr w:rsidR="0073458A">
        <w:trPr>
          <w:trHeight w:val="497"/>
          <w:jc w:val="center"/>
        </w:trPr>
        <w:tc>
          <w:tcPr>
            <w:tcW w:w="1569" w:type="dxa"/>
            <w:vMerge/>
            <w:tcBorders>
              <w:left w:val="single" w:sz="4" w:space="0" w:color="auto"/>
              <w:bottom w:val="single" w:sz="4" w:space="0" w:color="auto"/>
              <w:right w:val="single" w:sz="4" w:space="0" w:color="auto"/>
            </w:tcBorders>
            <w:vAlign w:val="center"/>
          </w:tcPr>
          <w:p w:rsidR="0073458A" w:rsidRDefault="0073458A">
            <w:pPr>
              <w:spacing w:line="580" w:lineRule="exact"/>
              <w:rPr>
                <w:rFonts w:ascii="仿宋_GB2312" w:eastAsia="仿宋_GB2312" w:hAnsi="仿宋_GB2312" w:cs="仿宋_GB2312"/>
                <w:bCs/>
                <w:sz w:val="24"/>
              </w:rPr>
            </w:pPr>
          </w:p>
        </w:tc>
        <w:tc>
          <w:tcPr>
            <w:tcW w:w="193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Na</w:t>
            </w:r>
            <w:r>
              <w:rPr>
                <w:rFonts w:ascii="仿宋_GB2312" w:eastAsia="仿宋_GB2312" w:hAnsi="仿宋_GB2312" w:cs="仿宋_GB2312" w:hint="eastAsia"/>
                <w:bCs/>
                <w:sz w:val="24"/>
                <w:vertAlign w:val="subscript"/>
              </w:rPr>
              <w:t>2</w:t>
            </w:r>
            <w:r>
              <w:rPr>
                <w:rFonts w:ascii="仿宋_GB2312" w:eastAsia="仿宋_GB2312" w:hAnsi="仿宋_GB2312" w:cs="仿宋_GB2312" w:hint="eastAsia"/>
                <w:bCs/>
                <w:sz w:val="24"/>
              </w:rPr>
              <w:t>-EDTA</w:t>
            </w:r>
          </w:p>
        </w:tc>
        <w:tc>
          <w:tcPr>
            <w:tcW w:w="132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sz w:val="24"/>
              </w:rPr>
            </w:pPr>
            <w:r>
              <w:rPr>
                <w:rFonts w:ascii="仿宋_GB2312" w:eastAsia="仿宋_GB2312" w:hAnsi="仿宋_GB2312" w:cs="仿宋_GB2312" w:hint="eastAsia"/>
                <w:bCs/>
                <w:sz w:val="24"/>
              </w:rPr>
              <w:t>18.6</w:t>
            </w:r>
          </w:p>
        </w:tc>
        <w:tc>
          <w:tcPr>
            <w:tcW w:w="756"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971"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898" w:type="dxa"/>
            <w:tcBorders>
              <w:top w:val="single" w:sz="4" w:space="0" w:color="auto"/>
              <w:left w:val="single" w:sz="4" w:space="0" w:color="auto"/>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sz w:val="24"/>
              </w:rPr>
            </w:pPr>
          </w:p>
        </w:tc>
        <w:tc>
          <w:tcPr>
            <w:tcW w:w="1062" w:type="dxa"/>
            <w:tcBorders>
              <w:top w:val="single" w:sz="4" w:space="0" w:color="auto"/>
              <w:left w:val="single" w:sz="4" w:space="0" w:color="auto"/>
              <w:bottom w:val="single" w:sz="4" w:space="0" w:color="auto"/>
              <w:right w:val="single" w:sz="4" w:space="0" w:color="auto"/>
            </w:tcBorders>
          </w:tcPr>
          <w:p w:rsidR="0073458A" w:rsidRDefault="0073458A">
            <w:pPr>
              <w:spacing w:line="580" w:lineRule="exact"/>
              <w:jc w:val="center"/>
              <w:rPr>
                <w:rFonts w:ascii="仿宋_GB2312" w:eastAsia="仿宋_GB2312" w:hAnsi="仿宋_GB2312" w:cs="仿宋_GB2312"/>
                <w:bCs/>
                <w:sz w:val="24"/>
              </w:rPr>
            </w:pPr>
          </w:p>
        </w:tc>
      </w:tr>
    </w:tbl>
    <w:p w:rsidR="0073458A" w:rsidRDefault="0073458A">
      <w:pPr>
        <w:spacing w:line="580" w:lineRule="exact"/>
        <w:ind w:firstLineChars="200" w:firstLine="560"/>
        <w:rPr>
          <w:rFonts w:ascii="仿宋_GB2312" w:eastAsia="仿宋_GB2312" w:hAnsi="仿宋_GB2312" w:cs="仿宋_GB2312"/>
          <w:color w:val="000000"/>
          <w:sz w:val="28"/>
          <w:szCs w:val="28"/>
        </w:rPr>
      </w:pP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w:t>
      </w:r>
      <w:r>
        <w:rPr>
          <w:rFonts w:ascii="仿宋_GB2312" w:eastAsia="仿宋_GB2312" w:hAnsi="仿宋_GB2312" w:cs="仿宋_GB2312" w:hint="eastAsia"/>
          <w:color w:val="000000"/>
          <w:sz w:val="28"/>
          <w:szCs w:val="28"/>
        </w:rPr>
        <w:t>工作液配制</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根据试题上给出的工作液配制剂量，计算出理论上需要母液的量，并将计算结果填入对应试题空格中，选择适量规格的移液管量取</w:t>
      </w:r>
      <w:r>
        <w:rPr>
          <w:rFonts w:ascii="仿宋_GB2312" w:eastAsia="仿宋_GB2312" w:hAnsi="仿宋_GB2312" w:cs="仿宋_GB2312" w:hint="eastAsia"/>
          <w:color w:val="000000"/>
          <w:sz w:val="28"/>
          <w:szCs w:val="28"/>
        </w:rPr>
        <w:t>A</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B</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C</w:t>
      </w:r>
      <w:r>
        <w:rPr>
          <w:rFonts w:ascii="仿宋_GB2312" w:eastAsia="仿宋_GB2312" w:hAnsi="仿宋_GB2312" w:cs="仿宋_GB2312" w:hint="eastAsia"/>
          <w:color w:val="000000"/>
          <w:sz w:val="28"/>
          <w:szCs w:val="28"/>
        </w:rPr>
        <w:t>各浓缩母液的量在</w:t>
      </w:r>
      <w:r>
        <w:rPr>
          <w:rFonts w:ascii="仿宋_GB2312" w:eastAsia="仿宋_GB2312" w:hAnsi="仿宋_GB2312" w:cs="仿宋_GB2312" w:hint="eastAsia"/>
          <w:color w:val="000000"/>
          <w:sz w:val="28"/>
          <w:szCs w:val="28"/>
        </w:rPr>
        <w:t>1000ml</w:t>
      </w:r>
      <w:r>
        <w:rPr>
          <w:rFonts w:ascii="仿宋_GB2312" w:eastAsia="仿宋_GB2312" w:hAnsi="仿宋_GB2312" w:cs="仿宋_GB2312" w:hint="eastAsia"/>
          <w:color w:val="000000"/>
          <w:sz w:val="28"/>
          <w:szCs w:val="28"/>
        </w:rPr>
        <w:t>的烧杯中进行工作液的稀释和定容</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见表</w:t>
      </w:r>
      <w:r>
        <w:rPr>
          <w:rFonts w:ascii="仿宋_GB2312" w:eastAsia="仿宋_GB2312" w:hAnsi="仿宋_GB2312" w:cs="仿宋_GB2312" w:hint="eastAsia"/>
          <w:color w:val="000000"/>
          <w:sz w:val="28"/>
          <w:szCs w:val="28"/>
        </w:rPr>
        <w:t>2</w:t>
      </w:r>
      <w:r>
        <w:rPr>
          <w:rFonts w:ascii="仿宋_GB2312" w:eastAsia="仿宋_GB2312" w:hAnsi="仿宋_GB2312" w:cs="仿宋_GB2312" w:hint="eastAsia"/>
          <w:color w:val="000000"/>
          <w:sz w:val="28"/>
          <w:szCs w:val="28"/>
        </w:rPr>
        <w:t>。</w:t>
      </w:r>
    </w:p>
    <w:p w:rsidR="0073458A" w:rsidRDefault="0073458A">
      <w:pPr>
        <w:spacing w:line="580" w:lineRule="exact"/>
        <w:jc w:val="center"/>
        <w:rPr>
          <w:rFonts w:ascii="仿宋_GB2312" w:eastAsia="仿宋_GB2312" w:hAnsi="仿宋_GB2312" w:cs="仿宋_GB2312"/>
          <w:b/>
          <w:color w:val="000000"/>
          <w:sz w:val="28"/>
          <w:szCs w:val="28"/>
        </w:rPr>
      </w:pPr>
    </w:p>
    <w:p w:rsidR="0073458A" w:rsidRDefault="00B9166C">
      <w:pPr>
        <w:spacing w:line="580" w:lineRule="exac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lastRenderedPageBreak/>
        <w:t>表</w:t>
      </w:r>
      <w:r>
        <w:rPr>
          <w:rFonts w:ascii="仿宋_GB2312" w:eastAsia="仿宋_GB2312" w:hAnsi="仿宋_GB2312" w:cs="仿宋_GB2312" w:hint="eastAsia"/>
          <w:b/>
          <w:color w:val="000000"/>
          <w:sz w:val="28"/>
          <w:szCs w:val="28"/>
        </w:rPr>
        <w:t xml:space="preserve">2 </w:t>
      </w:r>
      <w:r>
        <w:rPr>
          <w:rFonts w:ascii="仿宋_GB2312" w:eastAsia="仿宋_GB2312" w:hAnsi="仿宋_GB2312" w:cs="仿宋_GB2312" w:hint="eastAsia"/>
          <w:b/>
          <w:color w:val="000000"/>
          <w:sz w:val="28"/>
          <w:szCs w:val="28"/>
        </w:rPr>
        <w:t>工作液配制</w:t>
      </w:r>
    </w:p>
    <w:tbl>
      <w:tblPr>
        <w:tblW w:w="8619" w:type="dxa"/>
        <w:jc w:val="center"/>
        <w:tblLayout w:type="fixed"/>
        <w:tblLook w:val="04A0"/>
      </w:tblPr>
      <w:tblGrid>
        <w:gridCol w:w="1621"/>
        <w:gridCol w:w="2652"/>
        <w:gridCol w:w="1271"/>
        <w:gridCol w:w="1559"/>
        <w:gridCol w:w="1516"/>
      </w:tblGrid>
      <w:tr w:rsidR="0073458A">
        <w:trPr>
          <w:trHeight w:val="513"/>
          <w:jc w:val="center"/>
        </w:trPr>
        <w:tc>
          <w:tcPr>
            <w:tcW w:w="162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2652"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配制工作液量（</w:t>
            </w:r>
            <w:r>
              <w:rPr>
                <w:rFonts w:ascii="仿宋_GB2312" w:eastAsia="仿宋_GB2312" w:hAnsi="仿宋_GB2312" w:cs="仿宋_GB2312" w:hint="eastAsia"/>
                <w:bCs/>
                <w:color w:val="000000"/>
                <w:sz w:val="24"/>
              </w:rPr>
              <w:t>ml</w:t>
            </w:r>
            <w:r>
              <w:rPr>
                <w:rFonts w:ascii="仿宋_GB2312" w:eastAsia="仿宋_GB2312" w:hAnsi="仿宋_GB2312" w:cs="仿宋_GB2312" w:hint="eastAsia"/>
                <w:bCs/>
                <w:color w:val="000000"/>
                <w:sz w:val="24"/>
              </w:rPr>
              <w:t>）</w:t>
            </w:r>
          </w:p>
        </w:tc>
        <w:tc>
          <w:tcPr>
            <w:tcW w:w="1271"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配制剂量</w:t>
            </w:r>
          </w:p>
        </w:tc>
        <w:tc>
          <w:tcPr>
            <w:tcW w:w="155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理论移取</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w:t>
            </w:r>
            <w:r>
              <w:rPr>
                <w:rFonts w:ascii="仿宋_GB2312" w:eastAsia="仿宋_GB2312" w:hAnsi="仿宋_GB2312" w:cs="仿宋_GB2312" w:hint="eastAsia"/>
                <w:bCs/>
                <w:color w:val="000000"/>
                <w:sz w:val="24"/>
              </w:rPr>
              <w:t>(ml)</w:t>
            </w:r>
          </w:p>
        </w:tc>
        <w:tc>
          <w:tcPr>
            <w:tcW w:w="1516"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实际移取</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w:t>
            </w:r>
            <w:r>
              <w:rPr>
                <w:rFonts w:ascii="仿宋_GB2312" w:eastAsia="仿宋_GB2312" w:hAnsi="仿宋_GB2312" w:cs="仿宋_GB2312" w:hint="eastAsia"/>
                <w:bCs/>
                <w:color w:val="000000"/>
                <w:sz w:val="24"/>
              </w:rPr>
              <w:t>(ml)</w:t>
            </w:r>
          </w:p>
        </w:tc>
      </w:tr>
      <w:tr w:rsidR="0073458A">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w:t>
            </w:r>
            <w:r>
              <w:rPr>
                <w:rFonts w:ascii="仿宋_GB2312" w:eastAsia="仿宋_GB2312" w:hAnsi="仿宋_GB2312" w:cs="仿宋_GB2312" w:hint="eastAsia"/>
                <w:bCs/>
                <w:color w:val="000000"/>
                <w:sz w:val="24"/>
              </w:rPr>
              <w:t>液</w:t>
            </w:r>
          </w:p>
        </w:tc>
        <w:tc>
          <w:tcPr>
            <w:tcW w:w="2652" w:type="dxa"/>
            <w:vMerge w:val="restart"/>
            <w:tcBorders>
              <w:top w:val="single" w:sz="4" w:space="0" w:color="auto"/>
              <w:left w:val="nil"/>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1000</w:t>
            </w:r>
          </w:p>
        </w:tc>
        <w:tc>
          <w:tcPr>
            <w:tcW w:w="1271"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r>
      <w:tr w:rsidR="0073458A">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w:t>
            </w:r>
            <w:r>
              <w:rPr>
                <w:rFonts w:ascii="仿宋_GB2312" w:eastAsia="仿宋_GB2312" w:hAnsi="仿宋_GB2312" w:cs="仿宋_GB2312" w:hint="eastAsia"/>
                <w:bCs/>
                <w:color w:val="000000"/>
                <w:sz w:val="24"/>
              </w:rPr>
              <w:t>液</w:t>
            </w:r>
          </w:p>
        </w:tc>
        <w:tc>
          <w:tcPr>
            <w:tcW w:w="2652" w:type="dxa"/>
            <w:vMerge/>
            <w:tcBorders>
              <w:left w:val="nil"/>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r>
      <w:tr w:rsidR="0073458A">
        <w:trPr>
          <w:trHeight w:val="454"/>
          <w:jc w:val="center"/>
        </w:trPr>
        <w:tc>
          <w:tcPr>
            <w:tcW w:w="162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w:t>
            </w:r>
            <w:r>
              <w:rPr>
                <w:rFonts w:ascii="仿宋_GB2312" w:eastAsia="仿宋_GB2312" w:hAnsi="仿宋_GB2312" w:cs="仿宋_GB2312" w:hint="eastAsia"/>
                <w:bCs/>
                <w:color w:val="000000"/>
                <w:sz w:val="24"/>
              </w:rPr>
              <w:t>液</w:t>
            </w:r>
          </w:p>
        </w:tc>
        <w:tc>
          <w:tcPr>
            <w:tcW w:w="2652"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59"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516" w:type="dxa"/>
            <w:tcBorders>
              <w:top w:val="single" w:sz="4" w:space="0" w:color="auto"/>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r>
    </w:tbl>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（二）嫁接操作</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1.</w:t>
      </w:r>
      <w:r w:rsidR="00D7515E">
        <w:rPr>
          <w:rFonts w:ascii="仿宋_GB2312" w:eastAsia="仿宋_GB2312" w:hAnsi="仿宋_GB2312" w:cs="仿宋_GB2312" w:hint="eastAsia"/>
          <w:color w:val="000000"/>
          <w:sz w:val="28"/>
          <w:szCs w:val="28"/>
        </w:rPr>
        <w:t>比赛</w:t>
      </w:r>
      <w:r>
        <w:rPr>
          <w:rFonts w:ascii="仿宋_GB2312" w:eastAsia="仿宋_GB2312" w:hAnsi="仿宋_GB2312" w:cs="仿宋_GB2312" w:hint="eastAsia"/>
          <w:color w:val="000000"/>
          <w:sz w:val="28"/>
          <w:szCs w:val="28"/>
        </w:rPr>
        <w:t>时间。在规定的</w:t>
      </w:r>
      <w:r>
        <w:rPr>
          <w:rFonts w:ascii="仿宋_GB2312" w:eastAsia="仿宋_GB2312" w:hAnsi="仿宋_GB2312" w:cs="仿宋_GB2312" w:hint="eastAsia"/>
          <w:color w:val="000000"/>
          <w:sz w:val="28"/>
          <w:szCs w:val="28"/>
        </w:rPr>
        <w:t>40</w:t>
      </w:r>
      <w:r>
        <w:rPr>
          <w:rFonts w:ascii="仿宋_GB2312" w:eastAsia="仿宋_GB2312" w:hAnsi="仿宋_GB2312" w:cs="仿宋_GB2312" w:hint="eastAsia"/>
          <w:color w:val="000000"/>
          <w:sz w:val="28"/>
          <w:szCs w:val="28"/>
        </w:rPr>
        <w:t>分钟时间内，统筹完成西瓜劈接、黄瓜顶端插接操作。</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2.</w:t>
      </w:r>
      <w:r>
        <w:rPr>
          <w:rFonts w:ascii="仿宋_GB2312" w:eastAsia="仿宋_GB2312" w:hAnsi="仿宋_GB2312" w:cs="仿宋_GB2312" w:hint="eastAsia"/>
          <w:color w:val="000000"/>
          <w:sz w:val="28"/>
          <w:szCs w:val="28"/>
        </w:rPr>
        <w:t>砧穗选择。按照西瓜劈接适期要求，从提供的葫芦砧木穴盘苗中选出第一片真叶初现的葫芦砧木穴盘苗；从切下来的西瓜接穗苗中挑选出子叶半展至平展的西瓜接穗苗。按照黄瓜顶端插接适期要求，从提供的南瓜砧木穴盘中挑选第一片真叶展开，第二片真叶显露的南瓜砧木穴盘苗；挑选出子叶半展至平展的黄瓜接穗苗。</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3.</w:t>
      </w:r>
      <w:r>
        <w:rPr>
          <w:rFonts w:ascii="仿宋_GB2312" w:eastAsia="仿宋_GB2312" w:hAnsi="仿宋_GB2312" w:cs="仿宋_GB2312" w:hint="eastAsia"/>
          <w:color w:val="000000"/>
          <w:sz w:val="28"/>
          <w:szCs w:val="28"/>
        </w:rPr>
        <w:t>工具消毒。操作人员手、嫁接刀、嫁接竹签等嫁接工具需在西瓜劈接、黄瓜顶端插接前用棉球蘸</w:t>
      </w:r>
      <w:r>
        <w:rPr>
          <w:rFonts w:ascii="仿宋_GB2312" w:eastAsia="仿宋_GB2312" w:hAnsi="仿宋_GB2312" w:cs="仿宋_GB2312" w:hint="eastAsia"/>
          <w:color w:val="000000"/>
          <w:sz w:val="28"/>
          <w:szCs w:val="28"/>
        </w:rPr>
        <w:t>75%</w:t>
      </w:r>
      <w:r>
        <w:rPr>
          <w:rFonts w:ascii="仿宋_GB2312" w:eastAsia="仿宋_GB2312" w:hAnsi="仿宋_GB2312" w:cs="仿宋_GB2312" w:hint="eastAsia"/>
          <w:color w:val="000000"/>
          <w:sz w:val="28"/>
          <w:szCs w:val="28"/>
        </w:rPr>
        <w:t>的酒精消毒。</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4.</w:t>
      </w:r>
      <w:r>
        <w:rPr>
          <w:rFonts w:ascii="仿宋_GB2312" w:eastAsia="仿宋_GB2312" w:hAnsi="仿宋_GB2312" w:cs="仿宋_GB2312" w:hint="eastAsia"/>
          <w:color w:val="000000"/>
          <w:sz w:val="28"/>
          <w:szCs w:val="28"/>
        </w:rPr>
        <w:t>去生长点。用嫁接竹签、嫁接刀片等工具剔除砧木生长点和真叶，剔除干净。</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5.</w:t>
      </w:r>
      <w:r>
        <w:rPr>
          <w:rFonts w:ascii="仿宋_GB2312" w:eastAsia="仿宋_GB2312" w:hAnsi="仿宋_GB2312" w:cs="仿宋_GB2312" w:hint="eastAsia"/>
          <w:color w:val="000000"/>
          <w:sz w:val="28"/>
          <w:szCs w:val="28"/>
        </w:rPr>
        <w:t>劈砧木。西瓜劈接时，用刀片沿葫芦双子叶内侧方向沿轴心方向向下纵劈</w:t>
      </w:r>
      <w:r>
        <w:rPr>
          <w:rFonts w:ascii="仿宋_GB2312" w:eastAsia="仿宋_GB2312" w:hAnsi="仿宋_GB2312" w:cs="仿宋_GB2312" w:hint="eastAsia"/>
          <w:color w:val="000000"/>
          <w:sz w:val="28"/>
          <w:szCs w:val="28"/>
        </w:rPr>
        <w:t>1-1.5cm</w:t>
      </w:r>
      <w:r>
        <w:rPr>
          <w:rFonts w:ascii="仿宋_GB2312" w:eastAsia="仿宋_GB2312" w:hAnsi="仿宋_GB2312" w:cs="仿宋_GB2312" w:hint="eastAsia"/>
          <w:color w:val="000000"/>
          <w:sz w:val="28"/>
          <w:szCs w:val="28"/>
        </w:rPr>
        <w:t>，下胚轴外侧不劈开，宽不小于接穗横径。黄瓜顶端插接时，竹签紧贴南瓜子叶的叶柄中脉基部向另一子叶的叶柄基部成</w:t>
      </w:r>
      <w:r>
        <w:rPr>
          <w:rFonts w:ascii="仿宋_GB2312" w:eastAsia="仿宋_GB2312" w:hAnsi="仿宋_GB2312" w:cs="仿宋_GB2312" w:hint="eastAsia"/>
          <w:color w:val="000000"/>
          <w:sz w:val="28"/>
          <w:szCs w:val="28"/>
        </w:rPr>
        <w:t>30</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45</w:t>
      </w:r>
      <w:r>
        <w:rPr>
          <w:rFonts w:ascii="仿宋_GB2312" w:eastAsia="仿宋_GB2312" w:hAnsi="仿宋_GB2312" w:cs="仿宋_GB2312" w:hint="eastAsia"/>
          <w:color w:val="000000"/>
          <w:sz w:val="28"/>
          <w:szCs w:val="28"/>
        </w:rPr>
        <w:t>°斜插，插孔深约</w:t>
      </w:r>
      <w:r>
        <w:rPr>
          <w:rFonts w:ascii="仿宋_GB2312" w:eastAsia="仿宋_GB2312" w:hAnsi="仿宋_GB2312" w:cs="仿宋_GB2312" w:hint="eastAsia"/>
          <w:color w:val="000000"/>
          <w:sz w:val="28"/>
          <w:szCs w:val="28"/>
        </w:rPr>
        <w:t>0.7</w:t>
      </w:r>
      <w:r>
        <w:rPr>
          <w:rFonts w:ascii="仿宋_GB2312" w:eastAsia="仿宋_GB2312" w:hAnsi="仿宋_GB2312" w:cs="仿宋_GB2312" w:hint="eastAsia"/>
          <w:color w:val="000000"/>
          <w:sz w:val="28"/>
          <w:szCs w:val="28"/>
        </w:rPr>
        <w:t>㎝，竹签即将穿透砧木苗表皮，手指有触感为宜，竹签暂不拔出。</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lastRenderedPageBreak/>
        <w:t>6.</w:t>
      </w:r>
      <w:r>
        <w:rPr>
          <w:rFonts w:ascii="仿宋_GB2312" w:eastAsia="仿宋_GB2312" w:hAnsi="仿宋_GB2312" w:cs="仿宋_GB2312" w:hint="eastAsia"/>
          <w:color w:val="000000"/>
          <w:sz w:val="28"/>
          <w:szCs w:val="28"/>
        </w:rPr>
        <w:t>削接穗。西瓜劈接时，在西瓜子叶下方</w:t>
      </w:r>
      <w:r>
        <w:rPr>
          <w:rFonts w:ascii="仿宋_GB2312" w:eastAsia="仿宋_GB2312" w:hAnsi="仿宋_GB2312" w:cs="仿宋_GB2312" w:hint="eastAsia"/>
          <w:color w:val="000000"/>
          <w:sz w:val="28"/>
          <w:szCs w:val="28"/>
        </w:rPr>
        <w:t>0.5-1</w:t>
      </w:r>
      <w:r>
        <w:rPr>
          <w:rFonts w:ascii="仿宋_GB2312" w:eastAsia="仿宋_GB2312" w:hAnsi="仿宋_GB2312" w:cs="仿宋_GB2312" w:hint="eastAsia"/>
          <w:color w:val="000000"/>
          <w:sz w:val="28"/>
          <w:szCs w:val="28"/>
        </w:rPr>
        <w:t>㎝处将接穗下胚轴削成双面楔形，削面长度和砧木切口深度相对应，长度控制在</w:t>
      </w:r>
      <w:r>
        <w:rPr>
          <w:rFonts w:ascii="仿宋_GB2312" w:eastAsia="仿宋_GB2312" w:hAnsi="仿宋_GB2312" w:cs="仿宋_GB2312" w:hint="eastAsia"/>
          <w:color w:val="000000"/>
          <w:sz w:val="28"/>
          <w:szCs w:val="28"/>
        </w:rPr>
        <w:t>1-1.5cm</w:t>
      </w:r>
      <w:r>
        <w:rPr>
          <w:rFonts w:ascii="仿宋_GB2312" w:eastAsia="仿宋_GB2312" w:hAnsi="仿宋_GB2312" w:cs="仿宋_GB2312" w:hint="eastAsia"/>
          <w:color w:val="000000"/>
          <w:sz w:val="28"/>
          <w:szCs w:val="28"/>
        </w:rPr>
        <w:t>，楔形面平滑无污染。黄瓜顶端插接时，在黄瓜接穗子叶基部约</w:t>
      </w:r>
      <w:r>
        <w:rPr>
          <w:rFonts w:ascii="仿宋_GB2312" w:eastAsia="仿宋_GB2312" w:hAnsi="仿宋_GB2312" w:cs="仿宋_GB2312" w:hint="eastAsia"/>
          <w:color w:val="000000"/>
          <w:sz w:val="28"/>
          <w:szCs w:val="28"/>
        </w:rPr>
        <w:t>0.5</w:t>
      </w:r>
      <w:r>
        <w:rPr>
          <w:rFonts w:ascii="仿宋_GB2312" w:eastAsia="仿宋_GB2312" w:hAnsi="仿宋_GB2312" w:cs="仿宋_GB2312" w:hint="eastAsia"/>
          <w:color w:val="000000"/>
          <w:sz w:val="28"/>
          <w:szCs w:val="28"/>
        </w:rPr>
        <w:t>㎝处沿两子叶平行的方向向下胚轴方向斜切</w:t>
      </w:r>
      <w:r>
        <w:rPr>
          <w:rFonts w:ascii="仿宋_GB2312" w:eastAsia="仿宋_GB2312" w:hAnsi="仿宋_GB2312" w:cs="仿宋_GB2312" w:hint="eastAsia"/>
          <w:color w:val="000000"/>
          <w:sz w:val="28"/>
          <w:szCs w:val="28"/>
        </w:rPr>
        <w:t>0.5-0.6</w:t>
      </w:r>
      <w:r>
        <w:rPr>
          <w:rFonts w:ascii="仿宋_GB2312" w:eastAsia="仿宋_GB2312" w:hAnsi="仿宋_GB2312" w:cs="仿宋_GB2312" w:hint="eastAsia"/>
          <w:color w:val="000000"/>
          <w:sz w:val="28"/>
          <w:szCs w:val="28"/>
        </w:rPr>
        <w:t>㎝的平滑单楔面或双楔面，角度约为</w:t>
      </w:r>
      <w:r>
        <w:rPr>
          <w:rFonts w:ascii="仿宋_GB2312" w:eastAsia="仿宋_GB2312" w:hAnsi="仿宋_GB2312" w:cs="仿宋_GB2312" w:hint="eastAsia"/>
          <w:color w:val="000000"/>
          <w:sz w:val="28"/>
          <w:szCs w:val="28"/>
        </w:rPr>
        <w:t>30</w:t>
      </w:r>
      <w:r>
        <w:rPr>
          <w:rFonts w:ascii="仿宋_GB2312" w:eastAsia="仿宋_GB2312" w:hAnsi="仿宋_GB2312" w:cs="仿宋_GB2312" w:hint="eastAsia"/>
          <w:color w:val="000000"/>
          <w:sz w:val="28"/>
          <w:szCs w:val="28"/>
        </w:rPr>
        <w:t>°，切面平滑无污染。</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7.</w:t>
      </w:r>
      <w:r>
        <w:rPr>
          <w:rFonts w:ascii="仿宋_GB2312" w:eastAsia="仿宋_GB2312" w:hAnsi="仿宋_GB2312" w:cs="仿宋_GB2312" w:hint="eastAsia"/>
          <w:color w:val="000000"/>
          <w:sz w:val="28"/>
          <w:szCs w:val="28"/>
        </w:rPr>
        <w:t>结合固定。西瓜劈接时，将西瓜接穗楔面全部插入切口，使楔面一侧与砧木外表皮处于同一平面，用嫁接夹沿垂直子叶方向从下胚轴未劈开一侧夹住接穗，使嫁接夹开口朝向劈开一侧。黄瓜顶端插接，拔出砧木上的竹签，迅速将切好的黄瓜接穗迅速准确地插入砧木插孔内，使接穗与砧木紧密结合，接穗斜面与砧木斜面紧靠在一起，嫁接苗的四片子叶呈“十”字交叉。</w:t>
      </w:r>
    </w:p>
    <w:p w:rsidR="0073458A" w:rsidRDefault="00B9166C">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8.</w:t>
      </w:r>
      <w:r>
        <w:rPr>
          <w:rFonts w:ascii="仿宋_GB2312" w:eastAsia="仿宋_GB2312" w:hAnsi="仿宋_GB2312" w:cs="仿宋_GB2312" w:hint="eastAsia"/>
          <w:color w:val="000000"/>
          <w:sz w:val="28"/>
          <w:szCs w:val="28"/>
        </w:rPr>
        <w:t>整理。在穴盘一顶端贴上便签（注明工位号、日期），所用工具摆放原处，嫁接苗摆放整齐放在指定位置，嫁接苗喷雾保</w:t>
      </w:r>
      <w:r>
        <w:rPr>
          <w:rFonts w:ascii="仿宋_GB2312" w:eastAsia="仿宋_GB2312" w:hAnsi="仿宋_GB2312" w:cs="仿宋_GB2312" w:hint="eastAsia"/>
          <w:color w:val="000000"/>
          <w:sz w:val="28"/>
          <w:szCs w:val="28"/>
        </w:rPr>
        <w:t>湿，清理桌面。</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方式</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（一）</w:t>
      </w:r>
      <w:r w:rsidR="00D7515E">
        <w:rPr>
          <w:rFonts w:ascii="仿宋_GB2312" w:eastAsia="仿宋_GB2312" w:hAnsi="仿宋" w:hint="eastAsia"/>
          <w:sz w:val="28"/>
          <w:szCs w:val="28"/>
        </w:rPr>
        <w:t>比赛</w:t>
      </w:r>
      <w:r>
        <w:rPr>
          <w:rFonts w:ascii="仿宋_GB2312" w:eastAsia="仿宋_GB2312" w:hAnsi="仿宋" w:hint="eastAsia"/>
          <w:sz w:val="28"/>
          <w:szCs w:val="28"/>
        </w:rPr>
        <w:t>以个人方式进行。</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二）沈阳市各类中等职业学校（含原在沈省属中专、直属学校、职业教育中心、市行办学校、技工学校、民办中职学校、高等院校附属中专）全日制在籍学生；同时邀请沈阳经济区其它七城市公办中等职业学校学生参赛。</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w:t>
      </w:r>
      <w:r>
        <w:rPr>
          <w:rFonts w:ascii="仿宋_GB2312" w:eastAsia="仿宋_GB2312" w:hAnsi="仿宋" w:hint="eastAsia"/>
          <w:sz w:val="28"/>
          <w:szCs w:val="28"/>
        </w:rPr>
        <w:t>三</w:t>
      </w:r>
      <w:r>
        <w:rPr>
          <w:rFonts w:ascii="仿宋_GB2312" w:eastAsia="仿宋_GB2312" w:hAnsi="仿宋"/>
          <w:sz w:val="28"/>
          <w:szCs w:val="28"/>
        </w:rPr>
        <w:t>)</w:t>
      </w:r>
      <w:r>
        <w:rPr>
          <w:rFonts w:ascii="仿宋_GB2312" w:eastAsia="仿宋_GB2312" w:hAnsi="仿宋" w:hint="eastAsia"/>
          <w:sz w:val="28"/>
          <w:szCs w:val="28"/>
        </w:rPr>
        <w:t>组队及报名</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1.</w:t>
      </w:r>
      <w:r>
        <w:rPr>
          <w:rFonts w:ascii="仿宋_GB2312" w:eastAsia="仿宋_GB2312" w:hAnsi="仿宋" w:hint="eastAsia"/>
          <w:sz w:val="28"/>
          <w:szCs w:val="28"/>
        </w:rPr>
        <w:t>沈阳市参赛选手以学校为单位组队报名，经济区其它七城市的组队报名工作由所在市教育行政部门负责协调，并上报组委会。</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2.</w:t>
      </w:r>
      <w:r>
        <w:rPr>
          <w:rFonts w:ascii="仿宋_GB2312" w:eastAsia="仿宋_GB2312" w:hAnsi="仿宋" w:hint="eastAsia"/>
          <w:sz w:val="28"/>
          <w:szCs w:val="28"/>
        </w:rPr>
        <w:t>学生组个人</w:t>
      </w:r>
      <w:r>
        <w:rPr>
          <w:rFonts w:ascii="仿宋_GB2312" w:eastAsia="仿宋_GB2312" w:hAnsi="仿宋" w:hint="eastAsia"/>
          <w:sz w:val="28"/>
          <w:szCs w:val="28"/>
        </w:rPr>
        <w:t>参</w:t>
      </w:r>
      <w:r>
        <w:rPr>
          <w:rFonts w:ascii="仿宋_GB2312" w:eastAsia="仿宋_GB2312" w:hAnsi="仿宋" w:hint="eastAsia"/>
          <w:sz w:val="28"/>
          <w:szCs w:val="28"/>
        </w:rPr>
        <w:t>赛每校每个赛项报</w:t>
      </w:r>
      <w:r>
        <w:rPr>
          <w:rFonts w:ascii="仿宋_GB2312" w:eastAsia="仿宋_GB2312" w:hAnsi="仿宋"/>
          <w:sz w:val="28"/>
          <w:szCs w:val="28"/>
        </w:rPr>
        <w:t>3</w:t>
      </w:r>
      <w:r>
        <w:rPr>
          <w:rFonts w:ascii="仿宋_GB2312" w:eastAsia="仿宋_GB2312" w:hAnsi="仿宋" w:hint="eastAsia"/>
          <w:sz w:val="28"/>
          <w:szCs w:val="28"/>
        </w:rPr>
        <w:t>人，学生参赛选手均可指定</w:t>
      </w:r>
      <w:r>
        <w:rPr>
          <w:rFonts w:ascii="仿宋_GB2312" w:eastAsia="仿宋_GB2312" w:hAnsi="仿宋" w:hint="eastAsia"/>
          <w:sz w:val="28"/>
          <w:szCs w:val="28"/>
        </w:rPr>
        <w:lastRenderedPageBreak/>
        <w:t>指导教师，每名指导教师不限于指导一名参赛选手。</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3.</w:t>
      </w:r>
      <w:r>
        <w:rPr>
          <w:rFonts w:ascii="仿宋_GB2312" w:eastAsia="仿宋_GB2312" w:hAnsi="仿宋" w:hint="eastAsia"/>
          <w:sz w:val="28"/>
          <w:szCs w:val="28"/>
        </w:rPr>
        <w:t>人员变更：参赛选手和指导教师报名获得确认后不得随意更换。如备赛过程中参赛选手和指导教师因故无法参赛，经大赛办公室核实后予以更换，</w:t>
      </w:r>
      <w:r w:rsidR="00D7515E">
        <w:rPr>
          <w:rFonts w:ascii="仿宋_GB2312" w:eastAsia="仿宋_GB2312" w:hAnsi="仿宋" w:hint="eastAsia"/>
          <w:sz w:val="28"/>
          <w:szCs w:val="28"/>
        </w:rPr>
        <w:t>比赛</w:t>
      </w:r>
      <w:r>
        <w:rPr>
          <w:rFonts w:ascii="仿宋_GB2312" w:eastAsia="仿宋_GB2312" w:hAnsi="仿宋" w:hint="eastAsia"/>
          <w:sz w:val="28"/>
          <w:szCs w:val="28"/>
        </w:rPr>
        <w:t>开始后，参赛队不得更换参赛选手，否则视为自动放弃</w:t>
      </w:r>
      <w:r w:rsidR="00D7515E">
        <w:rPr>
          <w:rFonts w:ascii="仿宋_GB2312" w:eastAsia="仿宋_GB2312" w:hAnsi="仿宋" w:hint="eastAsia"/>
          <w:sz w:val="28"/>
          <w:szCs w:val="28"/>
        </w:rPr>
        <w:t>比赛</w:t>
      </w:r>
      <w:r>
        <w:rPr>
          <w:rFonts w:ascii="仿宋_GB2312" w:eastAsia="仿宋_GB2312" w:hAnsi="仿宋" w:hint="eastAsia"/>
          <w:sz w:val="28"/>
          <w:szCs w:val="28"/>
        </w:rPr>
        <w:t>。</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4.</w:t>
      </w:r>
      <w:r>
        <w:rPr>
          <w:rFonts w:ascii="仿宋_GB2312" w:eastAsia="仿宋_GB2312" w:hAnsi="仿宋" w:hint="eastAsia"/>
          <w:sz w:val="28"/>
          <w:szCs w:val="28"/>
        </w:rPr>
        <w:t>赛会实行网上报名，详见报名通知。</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流程</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1.</w:t>
      </w:r>
      <w:r>
        <w:rPr>
          <w:rFonts w:ascii="仿宋_GB2312" w:eastAsia="仿宋_GB2312" w:hAnsi="仿宋" w:hint="eastAsia"/>
          <w:sz w:val="28"/>
          <w:szCs w:val="28"/>
        </w:rPr>
        <w:t>报到，熟悉场地。</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2.</w:t>
      </w:r>
      <w:r>
        <w:rPr>
          <w:rFonts w:ascii="仿宋_GB2312" w:eastAsia="仿宋_GB2312" w:hAnsi="仿宋" w:hint="eastAsia"/>
          <w:sz w:val="28"/>
          <w:szCs w:val="28"/>
        </w:rPr>
        <w:t>领队会。</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3.</w:t>
      </w:r>
      <w:r>
        <w:rPr>
          <w:rFonts w:ascii="仿宋_GB2312" w:eastAsia="仿宋_GB2312" w:hAnsi="仿宋" w:hint="eastAsia"/>
          <w:sz w:val="28"/>
          <w:szCs w:val="28"/>
        </w:rPr>
        <w:t>选手检录，并抽签决定比赛工位号。</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4.</w:t>
      </w:r>
      <w:r>
        <w:rPr>
          <w:rFonts w:ascii="仿宋_GB2312" w:eastAsia="仿宋_GB2312" w:hAnsi="仿宋" w:hint="eastAsia"/>
          <w:sz w:val="28"/>
          <w:szCs w:val="28"/>
        </w:rPr>
        <w:t>选手进入技能比赛场，并按工位号就位，检查工具及备品。</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sz w:val="28"/>
          <w:szCs w:val="28"/>
        </w:rPr>
        <w:t>5.</w:t>
      </w:r>
      <w:r>
        <w:rPr>
          <w:rFonts w:ascii="仿宋_GB2312" w:eastAsia="仿宋_GB2312" w:hAnsi="仿宋" w:hint="eastAsia"/>
          <w:sz w:val="28"/>
          <w:szCs w:val="28"/>
        </w:rPr>
        <w:t>技能裁判组成员进入技能比赛场。</w:t>
      </w:r>
    </w:p>
    <w:p w:rsidR="0073458A" w:rsidRDefault="00B9166C">
      <w:pPr>
        <w:snapToGrid w:val="0"/>
        <w:spacing w:line="580" w:lineRule="exact"/>
        <w:ind w:firstLineChars="200" w:firstLine="560"/>
        <w:jc w:val="left"/>
        <w:rPr>
          <w:rFonts w:ascii="仿宋_GB2312" w:eastAsia="仿宋_GB2312" w:hAnsi="仿宋"/>
          <w:sz w:val="28"/>
          <w:szCs w:val="28"/>
        </w:rPr>
      </w:pPr>
      <w:r>
        <w:rPr>
          <w:rFonts w:ascii="仿宋_GB2312" w:eastAsia="仿宋_GB2312" w:hAnsi="仿宋" w:hint="eastAsia"/>
          <w:sz w:val="28"/>
          <w:szCs w:val="28"/>
        </w:rPr>
        <w:t>6.</w:t>
      </w:r>
      <w:r>
        <w:rPr>
          <w:rFonts w:ascii="仿宋_GB2312" w:eastAsia="仿宋_GB2312" w:hAnsi="仿宋" w:hint="eastAsia"/>
          <w:sz w:val="28"/>
          <w:szCs w:val="28"/>
        </w:rPr>
        <w:t>技能比赛按照嫁接的规范和要求，在规定时间内完成</w:t>
      </w:r>
      <w:r>
        <w:rPr>
          <w:rFonts w:ascii="仿宋_GB2312" w:eastAsia="仿宋_GB2312" w:hAnsi="仿宋_GB2312" w:cs="仿宋_GB2312" w:hint="eastAsia"/>
          <w:color w:val="000000"/>
          <w:sz w:val="28"/>
          <w:szCs w:val="28"/>
        </w:rPr>
        <w:t>营养液配制</w:t>
      </w:r>
      <w:r>
        <w:rPr>
          <w:rFonts w:ascii="仿宋_GB2312" w:eastAsia="仿宋_GB2312" w:hAnsi="仿宋_GB2312" w:cs="仿宋_GB2312" w:hint="eastAsia"/>
          <w:color w:val="000000"/>
          <w:sz w:val="28"/>
          <w:szCs w:val="28"/>
        </w:rPr>
        <w:t>60</w:t>
      </w:r>
      <w:r>
        <w:rPr>
          <w:rFonts w:ascii="仿宋_GB2312" w:eastAsia="仿宋_GB2312" w:hAnsi="仿宋_GB2312" w:cs="仿宋_GB2312" w:hint="eastAsia"/>
          <w:color w:val="000000"/>
          <w:sz w:val="28"/>
          <w:szCs w:val="28"/>
        </w:rPr>
        <w:t>分钟、嫁接操作</w:t>
      </w:r>
      <w:r>
        <w:rPr>
          <w:rFonts w:ascii="仿宋_GB2312" w:eastAsia="仿宋_GB2312" w:hAnsi="仿宋_GB2312" w:cs="仿宋_GB2312" w:hint="eastAsia"/>
          <w:color w:val="000000"/>
          <w:sz w:val="28"/>
          <w:szCs w:val="28"/>
        </w:rPr>
        <w:t>40</w:t>
      </w:r>
      <w:r>
        <w:rPr>
          <w:rFonts w:ascii="仿宋_GB2312" w:eastAsia="仿宋_GB2312" w:hAnsi="仿宋_GB2312" w:cs="仿宋_GB2312" w:hint="eastAsia"/>
          <w:color w:val="000000"/>
          <w:sz w:val="28"/>
          <w:szCs w:val="28"/>
        </w:rPr>
        <w:t>分钟</w:t>
      </w:r>
      <w:r>
        <w:rPr>
          <w:rFonts w:ascii="仿宋_GB2312" w:eastAsia="仿宋_GB2312" w:hAnsi="仿宋_GB2312" w:cs="仿宋_GB2312" w:hint="eastAsia"/>
          <w:color w:val="000000"/>
          <w:sz w:val="28"/>
          <w:szCs w:val="28"/>
        </w:rPr>
        <w:t>，完成</w:t>
      </w:r>
      <w:r>
        <w:rPr>
          <w:rFonts w:ascii="仿宋_GB2312" w:eastAsia="仿宋_GB2312" w:hAnsi="仿宋" w:hint="eastAsia"/>
          <w:sz w:val="28"/>
          <w:szCs w:val="28"/>
        </w:rPr>
        <w:t>两个分项</w:t>
      </w:r>
      <w:r>
        <w:rPr>
          <w:rFonts w:ascii="仿宋_GB2312" w:eastAsia="仿宋_GB2312" w:hAnsi="仿宋" w:hint="eastAsia"/>
          <w:sz w:val="28"/>
          <w:szCs w:val="28"/>
        </w:rPr>
        <w:t>赛</w:t>
      </w:r>
      <w:r>
        <w:rPr>
          <w:rFonts w:ascii="仿宋_GB2312" w:eastAsia="仿宋_GB2312" w:hAnsi="仿宋" w:hint="eastAsia"/>
          <w:sz w:val="28"/>
          <w:szCs w:val="28"/>
        </w:rPr>
        <w:t>项后，方可离开赛场。</w:t>
      </w:r>
    </w:p>
    <w:p w:rsidR="0073458A" w:rsidRDefault="00B9166C">
      <w:pPr>
        <w:spacing w:line="580" w:lineRule="exact"/>
        <w:ind w:leftChars="266" w:left="559"/>
        <w:rPr>
          <w:rFonts w:ascii="仿宋_GB2312" w:eastAsia="仿宋_GB2312" w:hAnsi="仿宋"/>
          <w:sz w:val="28"/>
          <w:szCs w:val="28"/>
        </w:rPr>
      </w:pPr>
      <w:r>
        <w:rPr>
          <w:rFonts w:ascii="仿宋_GB2312" w:eastAsia="仿宋_GB2312" w:hAnsi="仿宋" w:hint="eastAsia"/>
          <w:sz w:val="28"/>
          <w:szCs w:val="28"/>
        </w:rPr>
        <w:t>7.</w:t>
      </w:r>
      <w:r>
        <w:rPr>
          <w:rFonts w:ascii="仿宋_GB2312" w:eastAsia="仿宋_GB2312" w:hAnsi="仿宋" w:hint="eastAsia"/>
          <w:sz w:val="28"/>
          <w:szCs w:val="28"/>
        </w:rPr>
        <w:t>技术点评与成绩公布</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8.</w:t>
      </w:r>
      <w:r w:rsidR="00D7515E">
        <w:rPr>
          <w:rFonts w:ascii="仿宋_GB2312" w:eastAsia="仿宋_GB2312" w:hAnsi="仿宋" w:hint="eastAsia"/>
          <w:sz w:val="28"/>
          <w:szCs w:val="28"/>
        </w:rPr>
        <w:t>比赛</w:t>
      </w:r>
      <w:r>
        <w:rPr>
          <w:rFonts w:ascii="仿宋_GB2312" w:eastAsia="仿宋_GB2312" w:hAnsi="仿宋" w:hint="eastAsia"/>
          <w:sz w:val="28"/>
          <w:szCs w:val="28"/>
        </w:rPr>
        <w:t>时间安排</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 w:hint="eastAsia"/>
          <w:sz w:val="28"/>
          <w:szCs w:val="28"/>
        </w:rPr>
        <w:t>竟</w:t>
      </w:r>
      <w:r>
        <w:rPr>
          <w:rFonts w:ascii="仿宋_GB2312" w:eastAsia="仿宋_GB2312" w:hAnsi="仿宋" w:hint="eastAsia"/>
          <w:sz w:val="28"/>
          <w:szCs w:val="28"/>
        </w:rPr>
        <w:t>赛时间：</w:t>
      </w:r>
      <w:r>
        <w:rPr>
          <w:rFonts w:ascii="仿宋_GB2312" w:eastAsia="仿宋_GB2312" w:hAnsi="仿宋" w:hint="eastAsia"/>
          <w:sz w:val="28"/>
          <w:szCs w:val="28"/>
        </w:rPr>
        <w:t>具体日程安排见赛项实施方案</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赛卷</w:t>
      </w:r>
    </w:p>
    <w:p w:rsidR="0073458A" w:rsidRDefault="00D7515E">
      <w:pPr>
        <w:spacing w:line="580" w:lineRule="exact"/>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sz w:val="28"/>
          <w:szCs w:val="28"/>
        </w:rPr>
        <w:t>比赛</w:t>
      </w:r>
      <w:r w:rsidR="00B9166C">
        <w:rPr>
          <w:rFonts w:ascii="仿宋_GB2312" w:eastAsia="仿宋_GB2312" w:hAnsi="仿宋_GB2312" w:cs="仿宋_GB2312" w:hint="eastAsia"/>
          <w:sz w:val="28"/>
          <w:szCs w:val="28"/>
        </w:rPr>
        <w:t>赛卷包括</w:t>
      </w:r>
      <w:r w:rsidR="00B9166C">
        <w:rPr>
          <w:rFonts w:ascii="仿宋_GB2312" w:eastAsia="仿宋_GB2312" w:hAnsi="仿宋_GB2312" w:cs="仿宋_GB2312" w:hint="eastAsia"/>
          <w:color w:val="000000"/>
          <w:sz w:val="28"/>
          <w:szCs w:val="28"/>
        </w:rPr>
        <w:t>母液配制所需化合物计算和称量、工作液配制所需母液量计算和移取，</w:t>
      </w:r>
      <w:r w:rsidR="00B9166C">
        <w:rPr>
          <w:rFonts w:ascii="仿宋_GB2312" w:eastAsia="仿宋_GB2312" w:hAnsi="仿宋_GB2312" w:cs="仿宋_GB2312" w:hint="eastAsia"/>
          <w:sz w:val="28"/>
          <w:szCs w:val="28"/>
        </w:rPr>
        <w:t>比赛当天由专家组从</w:t>
      </w:r>
      <w:r w:rsidR="00B9166C">
        <w:rPr>
          <w:rFonts w:ascii="仿宋_GB2312" w:eastAsia="仿宋_GB2312" w:hAnsi="仿宋_GB2312" w:cs="仿宋_GB2312" w:hint="eastAsia"/>
          <w:sz w:val="28"/>
          <w:szCs w:val="28"/>
        </w:rPr>
        <w:t>3</w:t>
      </w:r>
      <w:r w:rsidR="00B9166C">
        <w:rPr>
          <w:rFonts w:ascii="仿宋_GB2312" w:eastAsia="仿宋_GB2312" w:hAnsi="仿宋_GB2312" w:cs="仿宋_GB2312" w:hint="eastAsia"/>
          <w:sz w:val="28"/>
          <w:szCs w:val="28"/>
        </w:rPr>
        <w:t>套试题库中现场抽取，样卷见表</w:t>
      </w:r>
      <w:r w:rsidR="00B9166C">
        <w:rPr>
          <w:rFonts w:ascii="仿宋_GB2312" w:eastAsia="仿宋_GB2312" w:hAnsi="仿宋_GB2312" w:cs="仿宋_GB2312" w:hint="eastAsia"/>
          <w:sz w:val="28"/>
          <w:szCs w:val="28"/>
        </w:rPr>
        <w:t>3</w:t>
      </w:r>
      <w:r w:rsidR="00B9166C">
        <w:rPr>
          <w:rFonts w:ascii="仿宋_GB2312" w:eastAsia="仿宋_GB2312" w:hAnsi="仿宋_GB2312" w:cs="仿宋_GB2312" w:hint="eastAsia"/>
          <w:sz w:val="28"/>
          <w:szCs w:val="28"/>
        </w:rPr>
        <w:t>、</w:t>
      </w:r>
      <w:r w:rsidR="00B9166C">
        <w:rPr>
          <w:rFonts w:ascii="仿宋_GB2312" w:eastAsia="仿宋_GB2312" w:hAnsi="仿宋_GB2312" w:cs="仿宋_GB2312" w:hint="eastAsia"/>
          <w:sz w:val="28"/>
          <w:szCs w:val="28"/>
        </w:rPr>
        <w:t>4</w:t>
      </w:r>
      <w:r w:rsidR="00B9166C">
        <w:rPr>
          <w:rFonts w:ascii="仿宋_GB2312" w:eastAsia="仿宋_GB2312" w:hAnsi="仿宋_GB2312" w:cs="仿宋_GB2312" w:hint="eastAsia"/>
          <w:sz w:val="28"/>
          <w:szCs w:val="28"/>
        </w:rPr>
        <w:t>。</w:t>
      </w:r>
      <w:r w:rsidR="00B9166C">
        <w:rPr>
          <w:rFonts w:ascii="仿宋_GB2312" w:eastAsia="仿宋_GB2312" w:hAnsi="仿宋_GB2312" w:cs="仿宋_GB2312" w:hint="eastAsia"/>
          <w:sz w:val="28"/>
          <w:szCs w:val="28"/>
        </w:rPr>
        <w:t xml:space="preserve"> </w:t>
      </w:r>
    </w:p>
    <w:p w:rsidR="0073458A" w:rsidRDefault="0073458A">
      <w:pPr>
        <w:spacing w:line="580" w:lineRule="exact"/>
        <w:jc w:val="center"/>
        <w:rPr>
          <w:rFonts w:ascii="仿宋_GB2312" w:eastAsia="仿宋_GB2312" w:hAnsi="仿宋_GB2312" w:cs="仿宋_GB2312"/>
          <w:b/>
          <w:color w:val="000000"/>
          <w:sz w:val="28"/>
          <w:szCs w:val="28"/>
        </w:rPr>
      </w:pPr>
    </w:p>
    <w:p w:rsidR="0073458A" w:rsidRDefault="0073458A">
      <w:pPr>
        <w:spacing w:line="580" w:lineRule="exact"/>
        <w:jc w:val="center"/>
        <w:rPr>
          <w:rFonts w:ascii="仿宋_GB2312" w:eastAsia="仿宋_GB2312" w:hAnsi="仿宋_GB2312" w:cs="仿宋_GB2312"/>
          <w:b/>
          <w:color w:val="000000"/>
          <w:sz w:val="28"/>
          <w:szCs w:val="28"/>
        </w:rPr>
      </w:pPr>
    </w:p>
    <w:p w:rsidR="0073458A" w:rsidRDefault="00B9166C">
      <w:pPr>
        <w:spacing w:line="580" w:lineRule="exac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w:t>
      </w:r>
      <w:r>
        <w:rPr>
          <w:rFonts w:ascii="仿宋_GB2312" w:eastAsia="仿宋_GB2312" w:hAnsi="仿宋_GB2312" w:cs="仿宋_GB2312" w:hint="eastAsia"/>
          <w:b/>
          <w:color w:val="000000"/>
          <w:sz w:val="28"/>
          <w:szCs w:val="28"/>
        </w:rPr>
        <w:t>3</w:t>
      </w:r>
      <w:r>
        <w:rPr>
          <w:rFonts w:ascii="仿宋_GB2312" w:eastAsia="仿宋_GB2312" w:hAnsi="仿宋_GB2312" w:cs="仿宋_GB2312" w:hint="eastAsia"/>
          <w:b/>
          <w:color w:val="000000"/>
          <w:sz w:val="28"/>
          <w:szCs w:val="28"/>
        </w:rPr>
        <w:t>母液配制样卷</w:t>
      </w:r>
    </w:p>
    <w:tbl>
      <w:tblPr>
        <w:tblW w:w="8561" w:type="dxa"/>
        <w:jc w:val="center"/>
        <w:tblLayout w:type="fixed"/>
        <w:tblLook w:val="04A0"/>
      </w:tblPr>
      <w:tblGrid>
        <w:gridCol w:w="1416"/>
        <w:gridCol w:w="1995"/>
        <w:gridCol w:w="1215"/>
        <w:gridCol w:w="825"/>
        <w:gridCol w:w="960"/>
        <w:gridCol w:w="1088"/>
        <w:gridCol w:w="1062"/>
      </w:tblGrid>
      <w:tr w:rsidR="0073458A">
        <w:trPr>
          <w:trHeight w:val="219"/>
          <w:jc w:val="center"/>
        </w:trPr>
        <w:tc>
          <w:tcPr>
            <w:tcW w:w="1416"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母液</w:t>
            </w:r>
          </w:p>
        </w:tc>
        <w:tc>
          <w:tcPr>
            <w:tcW w:w="199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成份</w:t>
            </w:r>
          </w:p>
        </w:tc>
        <w:tc>
          <w:tcPr>
            <w:tcW w:w="121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标准用量</w:t>
            </w:r>
            <w:r>
              <w:rPr>
                <w:rFonts w:ascii="仿宋_GB2312" w:eastAsia="仿宋_GB2312" w:hAnsi="仿宋_GB2312" w:cs="仿宋_GB2312" w:hint="eastAsia"/>
                <w:bCs/>
                <w:color w:val="000000"/>
                <w:sz w:val="24"/>
              </w:rPr>
              <w:t>(mg/L)</w:t>
            </w:r>
          </w:p>
        </w:tc>
        <w:tc>
          <w:tcPr>
            <w:tcW w:w="82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浓缩倍数</w:t>
            </w:r>
          </w:p>
        </w:tc>
        <w:tc>
          <w:tcPr>
            <w:tcW w:w="96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配制母液体积</w:t>
            </w:r>
            <w:r>
              <w:rPr>
                <w:rFonts w:ascii="仿宋_GB2312" w:eastAsia="仿宋_GB2312" w:hAnsi="仿宋_GB2312" w:cs="仿宋_GB2312" w:hint="eastAsia"/>
                <w:bCs/>
                <w:color w:val="000000"/>
                <w:sz w:val="24"/>
              </w:rPr>
              <w:t>(ml)</w:t>
            </w:r>
          </w:p>
        </w:tc>
        <w:tc>
          <w:tcPr>
            <w:tcW w:w="1088"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理论计算值</w:t>
            </w:r>
            <w:r>
              <w:rPr>
                <w:rFonts w:ascii="仿宋_GB2312" w:eastAsia="仿宋_GB2312" w:hAnsi="仿宋_GB2312" w:cs="仿宋_GB2312" w:hint="eastAsia"/>
                <w:bCs/>
                <w:color w:val="000000"/>
                <w:sz w:val="24"/>
              </w:rPr>
              <w:t>(g)</w:t>
            </w:r>
          </w:p>
        </w:tc>
        <w:tc>
          <w:tcPr>
            <w:tcW w:w="1062"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实际称取值</w:t>
            </w:r>
            <w:r>
              <w:rPr>
                <w:rFonts w:ascii="仿宋_GB2312" w:eastAsia="仿宋_GB2312" w:hAnsi="仿宋_GB2312" w:cs="仿宋_GB2312" w:hint="eastAsia"/>
                <w:bCs/>
                <w:color w:val="000000"/>
                <w:sz w:val="24"/>
              </w:rPr>
              <w:t>(g)</w:t>
            </w:r>
          </w:p>
        </w:tc>
      </w:tr>
      <w:tr w:rsidR="0073458A">
        <w:trPr>
          <w:trHeight w:val="454"/>
          <w:jc w:val="center"/>
        </w:trPr>
        <w:tc>
          <w:tcPr>
            <w:tcW w:w="1416"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w:t>
            </w:r>
            <w:r>
              <w:rPr>
                <w:rFonts w:ascii="仿宋_GB2312" w:eastAsia="仿宋_GB2312" w:hAnsi="仿宋_GB2312" w:cs="仿宋_GB2312" w:hint="eastAsia"/>
                <w:bCs/>
                <w:color w:val="000000"/>
                <w:sz w:val="24"/>
              </w:rPr>
              <w:t>液</w:t>
            </w:r>
          </w:p>
        </w:tc>
        <w:tc>
          <w:tcPr>
            <w:tcW w:w="199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Ca(NO3)2</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4H2O</w:t>
            </w:r>
          </w:p>
        </w:tc>
        <w:tc>
          <w:tcPr>
            <w:tcW w:w="121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c>
          <w:tcPr>
            <w:tcW w:w="82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6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08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c>
          <w:tcPr>
            <w:tcW w:w="1062"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9.45</w:t>
            </w:r>
          </w:p>
        </w:tc>
      </w:tr>
      <w:tr w:rsidR="0073458A">
        <w:trPr>
          <w:trHeight w:val="454"/>
          <w:jc w:val="center"/>
        </w:trPr>
        <w:tc>
          <w:tcPr>
            <w:tcW w:w="1416"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w:t>
            </w:r>
            <w:r>
              <w:rPr>
                <w:rFonts w:ascii="仿宋_GB2312" w:eastAsia="仿宋_GB2312" w:hAnsi="仿宋_GB2312" w:cs="仿宋_GB2312" w:hint="eastAsia"/>
                <w:bCs/>
                <w:color w:val="000000"/>
                <w:sz w:val="24"/>
              </w:rPr>
              <w:t>液</w:t>
            </w:r>
          </w:p>
        </w:tc>
        <w:tc>
          <w:tcPr>
            <w:tcW w:w="199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NH4H2PO4</w:t>
            </w:r>
          </w:p>
        </w:tc>
        <w:tc>
          <w:tcPr>
            <w:tcW w:w="121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c>
          <w:tcPr>
            <w:tcW w:w="82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6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08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c>
          <w:tcPr>
            <w:tcW w:w="1062"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1.53</w:t>
            </w:r>
          </w:p>
        </w:tc>
      </w:tr>
      <w:tr w:rsidR="0073458A">
        <w:trPr>
          <w:trHeight w:val="454"/>
          <w:jc w:val="center"/>
        </w:trPr>
        <w:tc>
          <w:tcPr>
            <w:tcW w:w="1416" w:type="dxa"/>
            <w:vMerge w:val="restart"/>
            <w:tcBorders>
              <w:top w:val="single" w:sz="4" w:space="0" w:color="auto"/>
              <w:left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w:t>
            </w:r>
            <w:r>
              <w:rPr>
                <w:rFonts w:ascii="仿宋_GB2312" w:eastAsia="仿宋_GB2312" w:hAnsi="仿宋_GB2312" w:cs="仿宋_GB2312" w:hint="eastAsia"/>
                <w:bCs/>
                <w:color w:val="000000"/>
                <w:sz w:val="24"/>
              </w:rPr>
              <w:t>液</w:t>
            </w:r>
          </w:p>
        </w:tc>
        <w:tc>
          <w:tcPr>
            <w:tcW w:w="199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FeSO4</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7H2O</w:t>
            </w:r>
          </w:p>
        </w:tc>
        <w:tc>
          <w:tcPr>
            <w:tcW w:w="121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13.9</w:t>
            </w:r>
          </w:p>
        </w:tc>
        <w:tc>
          <w:tcPr>
            <w:tcW w:w="825" w:type="dxa"/>
            <w:vMerge w:val="restart"/>
            <w:tcBorders>
              <w:top w:val="single" w:sz="4" w:space="0" w:color="auto"/>
              <w:left w:val="nil"/>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960" w:type="dxa"/>
            <w:vMerge w:val="restart"/>
            <w:tcBorders>
              <w:top w:val="single" w:sz="4" w:space="0" w:color="auto"/>
              <w:left w:val="nil"/>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08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0.1390</w:t>
            </w:r>
          </w:p>
        </w:tc>
        <w:tc>
          <w:tcPr>
            <w:tcW w:w="1062"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0.1390</w:t>
            </w:r>
          </w:p>
        </w:tc>
      </w:tr>
      <w:tr w:rsidR="0073458A">
        <w:trPr>
          <w:trHeight w:val="454"/>
          <w:jc w:val="center"/>
        </w:trPr>
        <w:tc>
          <w:tcPr>
            <w:tcW w:w="1416" w:type="dxa"/>
            <w:vMerge/>
            <w:tcBorders>
              <w:left w:val="single" w:sz="4" w:space="0" w:color="auto"/>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99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Na2-EDTA</w:t>
            </w:r>
          </w:p>
        </w:tc>
        <w:tc>
          <w:tcPr>
            <w:tcW w:w="1215"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18.6</w:t>
            </w:r>
          </w:p>
        </w:tc>
        <w:tc>
          <w:tcPr>
            <w:tcW w:w="825"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960"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08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0.1860</w:t>
            </w:r>
          </w:p>
        </w:tc>
        <w:tc>
          <w:tcPr>
            <w:tcW w:w="1062"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0.1860</w:t>
            </w:r>
          </w:p>
        </w:tc>
      </w:tr>
    </w:tbl>
    <w:p w:rsidR="0073458A" w:rsidRDefault="0073458A">
      <w:pPr>
        <w:spacing w:line="580" w:lineRule="exact"/>
        <w:jc w:val="center"/>
        <w:rPr>
          <w:rFonts w:ascii="仿宋_GB2312" w:eastAsia="仿宋_GB2312" w:hAnsi="仿宋_GB2312" w:cs="仿宋_GB2312"/>
          <w:b/>
          <w:color w:val="000000"/>
          <w:sz w:val="28"/>
          <w:szCs w:val="28"/>
        </w:rPr>
      </w:pPr>
    </w:p>
    <w:p w:rsidR="0073458A" w:rsidRDefault="00B9166C">
      <w:pPr>
        <w:spacing w:line="580" w:lineRule="exact"/>
        <w:jc w:val="center"/>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表</w:t>
      </w:r>
      <w:r>
        <w:rPr>
          <w:rFonts w:ascii="仿宋_GB2312" w:eastAsia="仿宋_GB2312" w:hAnsi="仿宋_GB2312" w:cs="仿宋_GB2312" w:hint="eastAsia"/>
          <w:b/>
          <w:color w:val="000000"/>
          <w:sz w:val="28"/>
          <w:szCs w:val="28"/>
        </w:rPr>
        <w:t>4</w:t>
      </w:r>
      <w:r>
        <w:rPr>
          <w:rFonts w:ascii="仿宋_GB2312" w:eastAsia="仿宋_GB2312" w:hAnsi="仿宋_GB2312" w:cs="仿宋_GB2312" w:hint="eastAsia"/>
          <w:b/>
          <w:color w:val="000000"/>
          <w:sz w:val="28"/>
          <w:szCs w:val="28"/>
        </w:rPr>
        <w:t>工作液配制样卷</w:t>
      </w:r>
    </w:p>
    <w:tbl>
      <w:tblPr>
        <w:tblW w:w="8603" w:type="dxa"/>
        <w:jc w:val="center"/>
        <w:tblLayout w:type="fixed"/>
        <w:tblLook w:val="04A0"/>
      </w:tblPr>
      <w:tblGrid>
        <w:gridCol w:w="1618"/>
        <w:gridCol w:w="2647"/>
        <w:gridCol w:w="1269"/>
        <w:gridCol w:w="1556"/>
        <w:gridCol w:w="1513"/>
      </w:tblGrid>
      <w:tr w:rsidR="0073458A">
        <w:trPr>
          <w:trHeight w:val="431"/>
          <w:jc w:val="center"/>
        </w:trPr>
        <w:tc>
          <w:tcPr>
            <w:tcW w:w="161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w:t>
            </w:r>
          </w:p>
        </w:tc>
        <w:tc>
          <w:tcPr>
            <w:tcW w:w="2647"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配制工作液量（</w:t>
            </w:r>
            <w:r>
              <w:rPr>
                <w:rFonts w:ascii="仿宋_GB2312" w:eastAsia="仿宋_GB2312" w:hAnsi="仿宋_GB2312" w:cs="仿宋_GB2312" w:hint="eastAsia"/>
                <w:bCs/>
                <w:color w:val="000000"/>
                <w:sz w:val="24"/>
              </w:rPr>
              <w:t>ml</w:t>
            </w:r>
            <w:r>
              <w:rPr>
                <w:rFonts w:ascii="仿宋_GB2312" w:eastAsia="仿宋_GB2312" w:hAnsi="仿宋_GB2312" w:cs="仿宋_GB2312" w:hint="eastAsia"/>
                <w:bCs/>
                <w:color w:val="000000"/>
                <w:sz w:val="24"/>
              </w:rPr>
              <w:t>）</w:t>
            </w:r>
          </w:p>
        </w:tc>
        <w:tc>
          <w:tcPr>
            <w:tcW w:w="126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配制剂量</w:t>
            </w:r>
          </w:p>
        </w:tc>
        <w:tc>
          <w:tcPr>
            <w:tcW w:w="1556"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理论移取</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w:t>
            </w:r>
            <w:r>
              <w:rPr>
                <w:rFonts w:ascii="仿宋_GB2312" w:eastAsia="仿宋_GB2312" w:hAnsi="仿宋_GB2312" w:cs="仿宋_GB2312" w:hint="eastAsia"/>
                <w:bCs/>
                <w:color w:val="000000"/>
                <w:sz w:val="24"/>
              </w:rPr>
              <w:t>(ml)</w:t>
            </w:r>
          </w:p>
        </w:tc>
        <w:tc>
          <w:tcPr>
            <w:tcW w:w="1513"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实际移取</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母液量</w:t>
            </w:r>
            <w:r>
              <w:rPr>
                <w:rFonts w:ascii="仿宋_GB2312" w:eastAsia="仿宋_GB2312" w:hAnsi="仿宋_GB2312" w:cs="仿宋_GB2312" w:hint="eastAsia"/>
                <w:bCs/>
                <w:color w:val="000000"/>
                <w:sz w:val="24"/>
              </w:rPr>
              <w:t>(ml)</w:t>
            </w:r>
          </w:p>
        </w:tc>
      </w:tr>
      <w:tr w:rsidR="0073458A">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A</w:t>
            </w:r>
            <w:r>
              <w:rPr>
                <w:rFonts w:ascii="仿宋_GB2312" w:eastAsia="仿宋_GB2312" w:hAnsi="仿宋_GB2312" w:cs="仿宋_GB2312" w:hint="eastAsia"/>
                <w:bCs/>
                <w:color w:val="000000"/>
                <w:sz w:val="24"/>
              </w:rPr>
              <w:t>液</w:t>
            </w:r>
          </w:p>
        </w:tc>
        <w:tc>
          <w:tcPr>
            <w:tcW w:w="2647" w:type="dxa"/>
            <w:vMerge w:val="restart"/>
            <w:tcBorders>
              <w:top w:val="single" w:sz="4" w:space="0" w:color="auto"/>
              <w:left w:val="nil"/>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1000</w:t>
            </w:r>
          </w:p>
        </w:tc>
        <w:tc>
          <w:tcPr>
            <w:tcW w:w="126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r w:rsidR="0073458A">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B</w:t>
            </w:r>
            <w:r>
              <w:rPr>
                <w:rFonts w:ascii="仿宋_GB2312" w:eastAsia="仿宋_GB2312" w:hAnsi="仿宋_GB2312" w:cs="仿宋_GB2312" w:hint="eastAsia"/>
                <w:bCs/>
                <w:color w:val="000000"/>
                <w:sz w:val="24"/>
              </w:rPr>
              <w:t>液</w:t>
            </w:r>
          </w:p>
        </w:tc>
        <w:tc>
          <w:tcPr>
            <w:tcW w:w="2647" w:type="dxa"/>
            <w:vMerge/>
            <w:tcBorders>
              <w:left w:val="nil"/>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6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r w:rsidR="0073458A">
        <w:trPr>
          <w:trHeight w:val="454"/>
          <w:jc w:val="center"/>
        </w:trPr>
        <w:tc>
          <w:tcPr>
            <w:tcW w:w="1618"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C</w:t>
            </w:r>
            <w:r>
              <w:rPr>
                <w:rFonts w:ascii="仿宋_GB2312" w:eastAsia="仿宋_GB2312" w:hAnsi="仿宋_GB2312" w:cs="仿宋_GB2312" w:hint="eastAsia"/>
                <w:bCs/>
                <w:color w:val="000000"/>
                <w:sz w:val="24"/>
              </w:rPr>
              <w:t>液</w:t>
            </w:r>
          </w:p>
        </w:tc>
        <w:tc>
          <w:tcPr>
            <w:tcW w:w="2647" w:type="dxa"/>
            <w:vMerge/>
            <w:tcBorders>
              <w:left w:val="nil"/>
              <w:bottom w:val="single" w:sz="4" w:space="0" w:color="auto"/>
              <w:right w:val="single" w:sz="4" w:space="0" w:color="auto"/>
            </w:tcBorders>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6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556"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c>
          <w:tcPr>
            <w:tcW w:w="1513"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10.0</w:t>
            </w:r>
          </w:p>
        </w:tc>
      </w:tr>
    </w:tbl>
    <w:p w:rsidR="0073458A" w:rsidRDefault="00B9166C">
      <w:pPr>
        <w:spacing w:line="580" w:lineRule="exact"/>
        <w:ind w:firstLineChars="200" w:firstLine="562"/>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规则</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参赛选手必须为中等职业学校、五年制高职一至三年级（含三年级）全日制在籍学生，不得弄虚作假。在资格审查中一旦发现问题，将取消其报名资格；在比赛过程中发现问题，将取消其比赛资格；在比赛后发现问题，将取消其比赛成绩，收回获奖证书以及奖品等。</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参赛选手和指导教师报名获得确认后不得随意更换。如备赛过程中参赛选手和指导教师因故无法参赛，须由省级教育行政部门于本赛项开赛</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个工作日之前出具书面说明，经</w:t>
      </w:r>
      <w:r w:rsidR="00D26CE1">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办公室核实后予</w:t>
      </w:r>
      <w:r>
        <w:rPr>
          <w:rFonts w:ascii="仿宋_GB2312" w:eastAsia="仿宋_GB2312" w:hAnsi="仿宋_GB2312" w:cs="仿宋_GB2312" w:hint="eastAsia"/>
          <w:sz w:val="28"/>
          <w:szCs w:val="28"/>
        </w:rPr>
        <w:lastRenderedPageBreak/>
        <w:t>以更换。</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参赛选手应遵守赛场纪律，服从</w:t>
      </w:r>
      <w:r w:rsidR="00D7515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的指挥和安排，爱护比赛场地的设备和器材</w:t>
      </w:r>
      <w:r>
        <w:rPr>
          <w:rFonts w:ascii="仿宋_GB2312" w:eastAsia="仿宋_GB2312" w:hAnsi="仿宋_GB2312" w:cs="仿宋_GB2312" w:hint="eastAsia"/>
          <w:sz w:val="28"/>
          <w:szCs w:val="28"/>
        </w:rPr>
        <w:t>。</w:t>
      </w:r>
    </w:p>
    <w:p w:rsidR="0073458A" w:rsidRDefault="00B9166C">
      <w:pPr>
        <w:spacing w:line="580" w:lineRule="exact"/>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凡在往届</w:t>
      </w:r>
      <w:r>
        <w:rPr>
          <w:rFonts w:ascii="仿宋_GB2312" w:eastAsia="仿宋_GB2312" w:hAnsi="仿宋_GB2312" w:cs="仿宋_GB2312" w:hint="eastAsia"/>
          <w:sz w:val="28"/>
          <w:szCs w:val="28"/>
        </w:rPr>
        <w:t>沈阳市</w:t>
      </w:r>
      <w:r>
        <w:rPr>
          <w:rFonts w:ascii="仿宋_GB2312" w:eastAsia="仿宋_GB2312" w:hAnsi="仿宋_GB2312" w:cs="仿宋_GB2312" w:hint="eastAsia"/>
          <w:sz w:val="28"/>
          <w:szCs w:val="28"/>
        </w:rPr>
        <w:t>职业院校技能大赛蔬菜嫁接赛项中获一等奖的选手，不再参加同一项目同一组别的比赛。</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各</w:t>
      </w:r>
      <w:r>
        <w:rPr>
          <w:rFonts w:ascii="仿宋_GB2312" w:eastAsia="仿宋_GB2312" w:hAnsi="仿宋_GB2312" w:cs="仿宋_GB2312" w:hint="eastAsia"/>
          <w:sz w:val="28"/>
          <w:szCs w:val="28"/>
        </w:rPr>
        <w:t>院校</w:t>
      </w:r>
      <w:r>
        <w:rPr>
          <w:rFonts w:ascii="仿宋_GB2312" w:eastAsia="仿宋_GB2312" w:hAnsi="仿宋_GB2312" w:cs="仿宋_GB2312" w:hint="eastAsia"/>
          <w:sz w:val="28"/>
          <w:szCs w:val="28"/>
        </w:rPr>
        <w:t>负责本地区参赛学生的资格审查工作。</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比赛前一天安排参赛队熟悉比赛场地，召开领队会议，宣布</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纪律和有关事宜，抽签确定各参赛队的组别。</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所有</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项目每场比赛前</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分钟组织各参赛队检录抽签，参赛选手的参赛组别、</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工位号、比赛所用材料及工具等采用抽签方式确定。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参赛选手应在指引员指引下提前</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分钟进入</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场地，迟到者不予参加比赛，并依照项目裁判长统一指令开始比赛。</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参赛选手进入赛场必需听从现场裁判人员的统一布置和安排，比赛期间必须严格遵守安全操作规程，确保人身和设备安全。</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赛场提供</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指定的专用材料与工具，参赛选手不可自带工具。</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参赛选手应认真阅读</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须知，自觉遵守赛场纪律，按</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规则、项目与赛场要求进行</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，不得携带任何通讯及存储设备、纸质材料等物品进入赛场，赛场内提供必需用品。</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任何人不得以任何方式公开参赛队及个人信息。</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过程中如因材</w:t>
      </w:r>
      <w:r>
        <w:rPr>
          <w:rFonts w:ascii="仿宋_GB2312" w:eastAsia="仿宋_GB2312" w:hAnsi="仿宋_GB2312" w:cs="仿宋_GB2312" w:hint="eastAsia"/>
          <w:sz w:val="28"/>
          <w:szCs w:val="28"/>
        </w:rPr>
        <w:t>料、设备等原因发生故障，应由项目裁判长进行评判；若因选手个人原因造成设备故障而无法继续比赛，裁判长</w:t>
      </w:r>
      <w:r>
        <w:rPr>
          <w:rFonts w:ascii="仿宋_GB2312" w:eastAsia="仿宋_GB2312" w:hAnsi="仿宋_GB2312" w:cs="仿宋_GB2312" w:hint="eastAsia"/>
          <w:sz w:val="28"/>
          <w:szCs w:val="28"/>
        </w:rPr>
        <w:lastRenderedPageBreak/>
        <w:t>有权决定终止该选手或该队比赛，若非选手原因造成设备故障的，由裁判长视具体情况做出裁决（暂停比赛计时或调整至最后一批次参加比赛），如果裁判长确定为设备故障问题，将给参赛选手补足技术支持人员排除设备故障所耽误的</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时间。</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比赛结束前</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分钟，由裁判长提醒考生比赛时间。当裁判长宣布比赛结束后，参赛选手必须马上停止一切操作，按要求位置站立等候撤离比赛指令。</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参赛选手若提前结束比赛，应由选手向裁判员举手示意，比赛终</w:t>
      </w:r>
      <w:r>
        <w:rPr>
          <w:rFonts w:ascii="仿宋_GB2312" w:eastAsia="仿宋_GB2312" w:hAnsi="仿宋_GB2312" w:cs="仿宋_GB2312" w:hint="eastAsia"/>
          <w:sz w:val="28"/>
          <w:szCs w:val="28"/>
        </w:rPr>
        <w:t>止时间由裁判员记录，选手结束比赛后不得再进行任何操作，并按要求撤离比赛现场。</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w:t>
      </w:r>
      <w:r w:rsidR="00D7515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领导下，裁判组严格按照评分标准负责赛项成绩评定，确保比赛成绩准确无误。</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环境</w:t>
      </w:r>
    </w:p>
    <w:p w:rsidR="0073458A" w:rsidRDefault="00B9166C">
      <w:pPr>
        <w:adjustRightInd w:val="0"/>
        <w:snapToGrid w:val="0"/>
        <w:spacing w:line="580" w:lineRule="exact"/>
        <w:ind w:firstLineChars="200" w:firstLine="560"/>
        <w:outlineLvl w:val="2"/>
        <w:rPr>
          <w:rFonts w:ascii="仿宋_GB2312" w:eastAsia="仿宋_GB2312" w:hAnsi="仿宋_GB2312" w:cs="仿宋_GB2312"/>
          <w:sz w:val="28"/>
          <w:szCs w:val="28"/>
        </w:rPr>
      </w:pPr>
      <w:r>
        <w:rPr>
          <w:rFonts w:ascii="仿宋_GB2312" w:eastAsia="仿宋_GB2312" w:hAnsi="仿宋_GB2312" w:cs="仿宋_GB2312" w:hint="eastAsia"/>
          <w:sz w:val="28"/>
          <w:szCs w:val="28"/>
        </w:rPr>
        <w:t>（一）场地及周边布局</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场地环境应按照营养液配制和蔬菜嫁接育苗的技术要求进行布置，整个比赛场地应保持通畅和开放，并配备防火防爆及其他安全设施。</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赛场周边设有卫生间、维修服务、医疗、生活补给站等公共服务区和紧急疏散通道，并在赛场周围设置隔离带。</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设立赛场开放区和安全通道，</w:t>
      </w:r>
      <w:r>
        <w:rPr>
          <w:rFonts w:ascii="仿宋_GB2312" w:eastAsia="仿宋_GB2312" w:hAnsi="仿宋_GB2312" w:cs="仿宋_GB2312" w:hint="eastAsia"/>
          <w:sz w:val="28"/>
          <w:szCs w:val="28"/>
        </w:rPr>
        <w:t>保证大赛安全有序进行。</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场地配套提供稳定的水、电、气源和供电应急设备，并有保安、公安、消防、设备维修和电力抢险人员待命，以防突发事件。</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（二）场内设施及布局</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1.</w:t>
      </w:r>
      <w:r>
        <w:rPr>
          <w:rFonts w:ascii="仿宋_GB2312" w:eastAsia="仿宋_GB2312" w:hAnsi="仿宋_GB2312" w:cs="仿宋_GB2312" w:hint="eastAsia"/>
          <w:sz w:val="28"/>
          <w:szCs w:val="28"/>
        </w:rPr>
        <w:t>场地操作台不少于</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套，可同时容纳</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个工位同场</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每个</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操作台上配有相应的材料、工具和操作流程材料，配有相应数量的清洁工具。</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工位相对独立，确保选手独立开展</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，不受外界影响。</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以教育部颁布的职业学校相关专业教学指导方案，以国家职业技能培训鉴定《蔬菜园艺工》（中级）规定的知识和技能要求为基础。</w:t>
      </w:r>
      <w:r>
        <w:rPr>
          <w:rFonts w:ascii="仿宋_GB2312" w:eastAsia="仿宋_GB2312" w:hAnsi="仿宋_GB2312" w:cs="仿宋_GB2312" w:hint="eastAsia"/>
          <w:sz w:val="28"/>
          <w:szCs w:val="28"/>
        </w:rPr>
        <w:t xml:space="preserve">    </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适用产业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蔬菜、花卉、果蔬、药用植物、茶、经济林等多种产业。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引用职业标准</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国家职业标准《蔬菜园艺工》（中级）。</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引用技术标准</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《蔬菜穴盘育苗通则》（</w:t>
      </w:r>
      <w:r>
        <w:rPr>
          <w:rFonts w:ascii="仿宋_GB2312" w:eastAsia="仿宋_GB2312" w:hAnsi="仿宋_GB2312" w:cs="仿宋_GB2312" w:hint="eastAsia"/>
          <w:sz w:val="28"/>
          <w:szCs w:val="28"/>
        </w:rPr>
        <w:t>NY/T 2119-2012</w:t>
      </w:r>
      <w:r>
        <w:rPr>
          <w:rFonts w:ascii="仿宋_GB2312" w:eastAsia="仿宋_GB2312" w:hAnsi="仿宋_GB2312" w:cs="仿宋_GB2312" w:hint="eastAsia"/>
          <w:sz w:val="28"/>
          <w:szCs w:val="28"/>
        </w:rPr>
        <w:t>）</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《育苗技术规程》（</w:t>
      </w:r>
      <w:r>
        <w:rPr>
          <w:rFonts w:ascii="仿宋_GB2312" w:eastAsia="仿宋_GB2312" w:hAnsi="仿宋_GB2312" w:cs="仿宋_GB2312" w:hint="eastAsia"/>
          <w:sz w:val="28"/>
          <w:szCs w:val="28"/>
        </w:rPr>
        <w:t>GB/T6001-1985</w:t>
      </w:r>
      <w:r>
        <w:rPr>
          <w:rFonts w:ascii="仿宋_GB2312" w:eastAsia="仿宋_GB2312" w:hAnsi="仿宋_GB2312" w:cs="仿宋_GB2312" w:hint="eastAsia"/>
          <w:sz w:val="28"/>
          <w:szCs w:val="28"/>
        </w:rPr>
        <w:t>）</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《蔬菜育苗基质》（</w:t>
      </w:r>
      <w:r>
        <w:rPr>
          <w:rFonts w:ascii="仿宋_GB2312" w:eastAsia="仿宋_GB2312" w:hAnsi="仿宋_GB2312" w:cs="仿宋_GB2312" w:hint="eastAsia"/>
          <w:sz w:val="28"/>
          <w:szCs w:val="28"/>
        </w:rPr>
        <w:t>NY/T 2118-2012</w:t>
      </w:r>
      <w:r>
        <w:rPr>
          <w:rFonts w:ascii="仿宋_GB2312" w:eastAsia="仿宋_GB2312" w:hAnsi="仿宋_GB2312" w:cs="仿宋_GB2312" w:hint="eastAsia"/>
          <w:sz w:val="28"/>
          <w:szCs w:val="28"/>
        </w:rPr>
        <w:t>）。</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通过调研全国涉农院校及园艺作物育苗工厂，</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选用通用营养液配制试剂和仪器、育苗材料、嫁接工具等生产企业一致，符合学生就业岗位要求。</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每组准备材料、仪器设备如下：</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营养液配制</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①试剂：四水硝酸钙（</w:t>
      </w:r>
      <w:r>
        <w:rPr>
          <w:rFonts w:ascii="仿宋_GB2312" w:eastAsia="仿宋_GB2312" w:hAnsi="仿宋_GB2312" w:cs="仿宋_GB2312" w:hint="eastAsia"/>
          <w:sz w:val="28"/>
          <w:szCs w:val="28"/>
        </w:rPr>
        <w:t>Ca(NO</w:t>
      </w:r>
      <w:r>
        <w:rPr>
          <w:rFonts w:ascii="仿宋_GB2312" w:eastAsia="仿宋_GB2312" w:hAnsi="仿宋_GB2312" w:cs="仿宋_GB2312" w:hint="eastAsia"/>
          <w:sz w:val="28"/>
          <w:szCs w:val="28"/>
          <w:vertAlign w:val="subscript"/>
        </w:rPr>
        <w:t>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O</w:t>
      </w:r>
      <w:r>
        <w:rPr>
          <w:rFonts w:ascii="仿宋_GB2312" w:eastAsia="仿宋_GB2312" w:hAnsi="仿宋_GB2312" w:cs="仿宋_GB2312" w:hint="eastAsia"/>
          <w:sz w:val="28"/>
          <w:szCs w:val="28"/>
        </w:rPr>
        <w:t>），磷酸二氢铵（</w:t>
      </w:r>
      <w:r>
        <w:rPr>
          <w:rFonts w:ascii="仿宋_GB2312" w:eastAsia="仿宋_GB2312" w:hAnsi="仿宋_GB2312" w:cs="仿宋_GB2312" w:hint="eastAsia"/>
          <w:sz w:val="28"/>
          <w:szCs w:val="28"/>
        </w:rPr>
        <w:t>NH</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PO</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）、七水硫酸亚铁</w:t>
      </w:r>
      <w:r>
        <w:rPr>
          <w:rFonts w:ascii="仿宋_GB2312" w:eastAsia="仿宋_GB2312" w:hAnsi="仿宋_GB2312" w:cs="仿宋_GB2312" w:hint="eastAsia"/>
          <w:sz w:val="28"/>
          <w:szCs w:val="28"/>
        </w:rPr>
        <w:t>(FeSO</w:t>
      </w:r>
      <w:r>
        <w:rPr>
          <w:rFonts w:ascii="仿宋_GB2312" w:eastAsia="仿宋_GB2312" w:hAnsi="仿宋_GB2312" w:cs="仿宋_GB2312" w:hint="eastAsia"/>
          <w:sz w:val="28"/>
          <w:szCs w:val="28"/>
          <w:vertAlign w:val="subscript"/>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7H</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 xml:space="preserve">O) </w:t>
      </w:r>
      <w:r>
        <w:rPr>
          <w:rFonts w:ascii="仿宋_GB2312" w:eastAsia="仿宋_GB2312" w:hAnsi="仿宋_GB2312" w:cs="仿宋_GB2312" w:hint="eastAsia"/>
          <w:sz w:val="28"/>
          <w:szCs w:val="28"/>
        </w:rPr>
        <w:t>、乙二胺四乙酸二钠</w:t>
      </w:r>
      <w:r>
        <w:rPr>
          <w:rFonts w:ascii="仿宋_GB2312" w:eastAsia="仿宋_GB2312" w:hAnsi="仿宋_GB2312" w:cs="仿宋_GB2312" w:hint="eastAsia"/>
          <w:sz w:val="28"/>
          <w:szCs w:val="28"/>
        </w:rPr>
        <w:t>(Na</w:t>
      </w:r>
      <w:r>
        <w:rPr>
          <w:rFonts w:ascii="仿宋_GB2312" w:eastAsia="仿宋_GB2312" w:hAnsi="仿宋_GB2312" w:cs="仿宋_GB2312" w:hint="eastAsia"/>
          <w:sz w:val="28"/>
          <w:szCs w:val="28"/>
          <w:vertAlign w:val="subscript"/>
        </w:rPr>
        <w:t>2</w:t>
      </w:r>
      <w:r>
        <w:rPr>
          <w:rFonts w:ascii="仿宋_GB2312" w:eastAsia="仿宋_GB2312" w:hAnsi="仿宋_GB2312" w:cs="仿宋_GB2312" w:hint="eastAsia"/>
          <w:sz w:val="28"/>
          <w:szCs w:val="28"/>
        </w:rPr>
        <w:t>-EDTA)</w:t>
      </w:r>
      <w:r>
        <w:rPr>
          <w:rFonts w:ascii="仿宋_GB2312" w:eastAsia="仿宋_GB2312" w:hAnsi="仿宋_GB2312" w:cs="仿宋_GB2312" w:hint="eastAsia"/>
          <w:sz w:val="28"/>
          <w:szCs w:val="28"/>
        </w:rPr>
        <w:t>、蒸馏水。</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②仪器设备：电子分析天平（感量：</w:t>
      </w:r>
      <w:r>
        <w:rPr>
          <w:rFonts w:ascii="仿宋_GB2312" w:eastAsia="仿宋_GB2312" w:hAnsi="仿宋_GB2312" w:cs="仿宋_GB2312" w:hint="eastAsia"/>
          <w:sz w:val="28"/>
          <w:szCs w:val="28"/>
        </w:rPr>
        <w:t>0.0001g</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台、电子天平（感量：</w:t>
      </w:r>
      <w:r>
        <w:rPr>
          <w:rFonts w:ascii="仿宋_GB2312" w:eastAsia="仿宋_GB2312" w:hAnsi="仿宋_GB2312" w:cs="仿宋_GB2312" w:hint="eastAsia"/>
          <w:sz w:val="28"/>
          <w:szCs w:val="28"/>
        </w:rPr>
        <w:t>0.01g</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台、</w:t>
      </w:r>
      <w:r>
        <w:rPr>
          <w:rFonts w:ascii="仿宋_GB2312" w:eastAsia="仿宋_GB2312" w:hAnsi="仿宋_GB2312" w:cs="仿宋_GB2312" w:hint="eastAsia"/>
          <w:sz w:val="28"/>
          <w:szCs w:val="28"/>
        </w:rPr>
        <w:t>500ml</w:t>
      </w:r>
      <w:r>
        <w:rPr>
          <w:rFonts w:ascii="仿宋_GB2312" w:eastAsia="仿宋_GB2312" w:hAnsi="仿宋_GB2312" w:cs="仿宋_GB2312" w:hint="eastAsia"/>
          <w:sz w:val="28"/>
          <w:szCs w:val="28"/>
        </w:rPr>
        <w:t>烧杯</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250ml</w:t>
      </w:r>
      <w:r>
        <w:rPr>
          <w:rFonts w:ascii="仿宋_GB2312" w:eastAsia="仿宋_GB2312" w:hAnsi="仿宋_GB2312" w:cs="仿宋_GB2312" w:hint="eastAsia"/>
          <w:sz w:val="28"/>
          <w:szCs w:val="28"/>
        </w:rPr>
        <w:t>烧杯</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100ml</w:t>
      </w:r>
      <w:r>
        <w:rPr>
          <w:rFonts w:ascii="仿宋_GB2312" w:eastAsia="仿宋_GB2312" w:hAnsi="仿宋_GB2312" w:cs="仿宋_GB2312" w:hint="eastAsia"/>
          <w:sz w:val="28"/>
          <w:szCs w:val="28"/>
        </w:rPr>
        <w:t>烧杯</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20ml</w:t>
      </w:r>
      <w:r>
        <w:rPr>
          <w:rFonts w:ascii="仿宋_GB2312" w:eastAsia="仿宋_GB2312" w:hAnsi="仿宋_GB2312" w:cs="仿宋_GB2312" w:hint="eastAsia"/>
          <w:sz w:val="28"/>
          <w:szCs w:val="28"/>
        </w:rPr>
        <w:t>烧杯</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500ml</w:t>
      </w:r>
      <w:r>
        <w:rPr>
          <w:rFonts w:ascii="仿宋_GB2312" w:eastAsia="仿宋_GB2312" w:hAnsi="仿宋_GB2312" w:cs="仿宋_GB2312" w:hint="eastAsia"/>
          <w:sz w:val="28"/>
          <w:szCs w:val="28"/>
        </w:rPr>
        <w:t>容量瓶</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250ml</w:t>
      </w:r>
      <w:r>
        <w:rPr>
          <w:rFonts w:ascii="仿宋_GB2312" w:eastAsia="仿宋_GB2312" w:hAnsi="仿宋_GB2312" w:cs="仿宋_GB2312" w:hint="eastAsia"/>
          <w:sz w:val="28"/>
          <w:szCs w:val="28"/>
        </w:rPr>
        <w:t>容量瓶</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100ml</w:t>
      </w:r>
      <w:r>
        <w:rPr>
          <w:rFonts w:ascii="仿宋_GB2312" w:eastAsia="仿宋_GB2312" w:hAnsi="仿宋_GB2312" w:cs="仿宋_GB2312" w:hint="eastAsia"/>
          <w:sz w:val="28"/>
          <w:szCs w:val="28"/>
        </w:rPr>
        <w:t>容量瓶</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10ml</w:t>
      </w:r>
      <w:r>
        <w:rPr>
          <w:rFonts w:ascii="仿宋_GB2312" w:eastAsia="仿宋_GB2312" w:hAnsi="仿宋_GB2312" w:cs="仿宋_GB2312" w:hint="eastAsia"/>
          <w:sz w:val="28"/>
          <w:szCs w:val="28"/>
        </w:rPr>
        <w:t>移液管</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5ml</w:t>
      </w:r>
      <w:r>
        <w:rPr>
          <w:rFonts w:ascii="仿宋_GB2312" w:eastAsia="仿宋_GB2312" w:hAnsi="仿宋_GB2312" w:cs="仿宋_GB2312" w:hint="eastAsia"/>
          <w:sz w:val="28"/>
          <w:szCs w:val="28"/>
        </w:rPr>
        <w:t>移液管</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2ml</w:t>
      </w:r>
      <w:r>
        <w:rPr>
          <w:rFonts w:ascii="仿宋_GB2312" w:eastAsia="仿宋_GB2312" w:hAnsi="仿宋_GB2312" w:cs="仿宋_GB2312" w:hint="eastAsia"/>
          <w:sz w:val="28"/>
          <w:szCs w:val="28"/>
        </w:rPr>
        <w:t>移液管</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1ml</w:t>
      </w:r>
      <w:r>
        <w:rPr>
          <w:rFonts w:ascii="仿宋_GB2312" w:eastAsia="仿宋_GB2312" w:hAnsi="仿宋_GB2312" w:cs="仿宋_GB2312" w:hint="eastAsia"/>
          <w:sz w:val="28"/>
          <w:szCs w:val="28"/>
        </w:rPr>
        <w:t>移液管</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w:t>
      </w:r>
      <w:r>
        <w:rPr>
          <w:rFonts w:ascii="仿宋_GB2312" w:eastAsia="仿宋_GB2312" w:hAnsi="仿宋_GB2312" w:cs="仿宋_GB2312" w:hint="eastAsia"/>
          <w:sz w:val="28"/>
          <w:szCs w:val="28"/>
        </w:rPr>
        <w:t>1000ml</w:t>
      </w:r>
      <w:r>
        <w:rPr>
          <w:rFonts w:ascii="仿宋_GB2312" w:eastAsia="仿宋_GB2312" w:hAnsi="仿宋_GB2312" w:cs="仿宋_GB2312" w:hint="eastAsia"/>
          <w:sz w:val="28"/>
          <w:szCs w:val="28"/>
        </w:rPr>
        <w:t>玻璃烧杯</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个（工作液稀释）、废液缸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个、废纸缸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个、胶头滴管</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个、玻璃棒</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根、</w:t>
      </w:r>
      <w:r>
        <w:rPr>
          <w:rFonts w:ascii="仿宋_GB2312" w:eastAsia="仿宋_GB2312" w:hAnsi="仿宋_GB2312" w:cs="仿宋_GB2312" w:hint="eastAsia"/>
          <w:sz w:val="28"/>
          <w:szCs w:val="28"/>
        </w:rPr>
        <w:t>5L</w:t>
      </w:r>
      <w:r>
        <w:rPr>
          <w:rFonts w:ascii="仿宋_GB2312" w:eastAsia="仿宋_GB2312" w:hAnsi="仿宋_GB2312" w:cs="仿宋_GB2312" w:hint="eastAsia"/>
          <w:sz w:val="28"/>
          <w:szCs w:val="28"/>
        </w:rPr>
        <w:t>笼头瓶</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个（装有蒸馏水）、</w:t>
      </w:r>
      <w:r>
        <w:rPr>
          <w:rFonts w:ascii="仿宋_GB2312" w:eastAsia="仿宋_GB2312" w:hAnsi="仿宋_GB2312" w:cs="仿宋_GB2312" w:hint="eastAsia"/>
          <w:sz w:val="28"/>
          <w:szCs w:val="28"/>
        </w:rPr>
        <w:t>500ml</w:t>
      </w:r>
      <w:r>
        <w:rPr>
          <w:rFonts w:ascii="仿宋_GB2312" w:eastAsia="仿宋_GB2312" w:hAnsi="仿宋_GB2312" w:cs="仿宋_GB2312" w:hint="eastAsia"/>
          <w:sz w:val="28"/>
          <w:szCs w:val="28"/>
        </w:rPr>
        <w:t>试剂瓶</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个（一个棕色）、洗瓶</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个、天平刷</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个、塑料药勺</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个、抹布</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块、称量纸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包、滤纸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包、卷纸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包、标签纸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张、草稿纸</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张、记号笔</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支、</w:t>
      </w:r>
      <w:r>
        <w:rPr>
          <w:rFonts w:ascii="仿宋_GB2312" w:eastAsia="仿宋_GB2312" w:hAnsi="仿宋_GB2312" w:cs="仿宋_GB2312" w:hint="eastAsia"/>
          <w:sz w:val="28"/>
          <w:szCs w:val="28"/>
        </w:rPr>
        <w:t>0.5mm</w:t>
      </w:r>
      <w:r>
        <w:rPr>
          <w:rFonts w:ascii="仿宋_GB2312" w:eastAsia="仿宋_GB2312" w:hAnsi="仿宋_GB2312" w:cs="仿宋_GB2312" w:hint="eastAsia"/>
          <w:sz w:val="28"/>
          <w:szCs w:val="28"/>
        </w:rPr>
        <w:t>中性笔</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支、计算器</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蔬菜嫁接</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①材料：西瓜砧木采用生长健壮、无病虫害的葫芦</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孔</w:t>
      </w:r>
      <w:r>
        <w:rPr>
          <w:rFonts w:ascii="仿宋_GB2312" w:eastAsia="仿宋_GB2312" w:hAnsi="仿宋_GB2312" w:cs="仿宋_GB2312" w:hint="eastAsia"/>
          <w:sz w:val="28"/>
          <w:szCs w:val="28"/>
        </w:rPr>
        <w:t>穴盘苗，接穗采用生长健壮、无病虫害中小型西瓜幼苗；黄瓜砧木采用生长健壮、无病虫害的杂交种南瓜（印度南瓜和中国南瓜的种间杂种）</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孔穴盘苗，接穗采用生长健壮、无病虫害密刺型黄瓜幼苗。</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②工具：嫁接操作台</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长宽高为</w:t>
      </w:r>
      <w:r>
        <w:rPr>
          <w:rFonts w:ascii="仿宋_GB2312" w:eastAsia="仿宋_GB2312" w:hAnsi="仿宋_GB2312" w:cs="仿宋_GB2312" w:hint="eastAsia"/>
          <w:sz w:val="28"/>
          <w:szCs w:val="28"/>
        </w:rPr>
        <w:t>2.2m*1m*0.75m)</w:t>
      </w:r>
      <w:r>
        <w:rPr>
          <w:rFonts w:ascii="仿宋_GB2312" w:eastAsia="仿宋_GB2312" w:hAnsi="仿宋_GB2312" w:cs="仿宋_GB2312" w:hint="eastAsia"/>
          <w:sz w:val="28"/>
          <w:szCs w:val="28"/>
        </w:rPr>
        <w:t>、嫁接刀（采用双面刮须刀片，将刀片沿中线纵向拆成两半，一段用胶布包扎）、</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种规格的嫁接竹签（长度</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㎝，直径分别为</w:t>
      </w:r>
      <w:r>
        <w:rPr>
          <w:rFonts w:ascii="仿宋_GB2312" w:eastAsia="仿宋_GB2312" w:hAnsi="仿宋_GB2312" w:cs="仿宋_GB2312" w:hint="eastAsia"/>
          <w:sz w:val="28"/>
          <w:szCs w:val="28"/>
        </w:rPr>
        <w:t>1.5mm</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2.0mm</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2.5mm</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3.0mm</w:t>
      </w:r>
      <w:r>
        <w:rPr>
          <w:rFonts w:ascii="仿宋_GB2312" w:eastAsia="仿宋_GB2312" w:hAnsi="仿宋_GB2312" w:cs="仿宋_GB2312" w:hint="eastAsia"/>
          <w:sz w:val="28"/>
          <w:szCs w:val="28"/>
        </w:rPr>
        <w:t>竹签，顶端单面斜切面长度</w:t>
      </w:r>
      <w:r>
        <w:rPr>
          <w:rFonts w:ascii="仿宋_GB2312" w:eastAsia="仿宋_GB2312" w:hAnsi="仿宋_GB2312" w:cs="仿宋_GB2312" w:hint="eastAsia"/>
          <w:sz w:val="28"/>
          <w:szCs w:val="28"/>
        </w:rPr>
        <w:t>5-6</w:t>
      </w:r>
      <w:r>
        <w:rPr>
          <w:rFonts w:ascii="仿宋_GB2312" w:eastAsia="仿宋_GB2312" w:hAnsi="仿宋_GB2312" w:cs="仿宋_GB2312" w:hint="eastAsia"/>
          <w:sz w:val="28"/>
          <w:szCs w:val="28"/>
        </w:rPr>
        <w:t>㎜）、嫁接夹（平口塑料嫁接夹）、毛巾、瓷盘、培养皿、手持小型喷雾器、</w:t>
      </w:r>
      <w:r>
        <w:rPr>
          <w:rFonts w:ascii="仿宋_GB2312" w:eastAsia="仿宋_GB2312" w:hAnsi="仿宋_GB2312" w:cs="仿宋_GB2312" w:hint="eastAsia"/>
          <w:sz w:val="28"/>
          <w:szCs w:val="28"/>
        </w:rPr>
        <w:t>75%</w:t>
      </w:r>
      <w:r>
        <w:rPr>
          <w:rFonts w:ascii="仿宋_GB2312" w:eastAsia="仿宋_GB2312" w:hAnsi="仿宋_GB2312" w:cs="仿宋_GB2312" w:hint="eastAsia"/>
          <w:sz w:val="28"/>
          <w:szCs w:val="28"/>
        </w:rPr>
        <w:t>酒精、棉球、笔</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支等。（由承办单位统一准备）。</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（一）评分方法</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裁判员组成</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聘请相关专业职业技能鉴定高级考评员、行业企业专家、高等院校具有高级职称的专业教师为裁判员，由</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人组成。</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裁判评分方法</w:t>
      </w:r>
    </w:p>
    <w:p w:rsidR="0073458A" w:rsidRDefault="00B9166C">
      <w:pPr>
        <w:pStyle w:val="a4"/>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根据评分标准，采取过程评分和操作结果相结合，裁判员进行过程独立打分、结果分组打分（每组裁判保证</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人</w:t>
      </w:r>
      <w:r>
        <w:rPr>
          <w:rFonts w:ascii="仿宋_GB2312" w:eastAsia="仿宋_GB2312" w:hAnsi="仿宋_GB2312" w:cs="仿宋_GB2312" w:hint="eastAsia"/>
          <w:sz w:val="28"/>
          <w:szCs w:val="28"/>
        </w:rPr>
        <w:t>以上</w:t>
      </w:r>
      <w:r>
        <w:rPr>
          <w:rFonts w:ascii="仿宋_GB2312" w:eastAsia="仿宋_GB2312" w:hAnsi="仿宋_GB2312" w:cs="仿宋_GB2312" w:hint="eastAsia"/>
          <w:sz w:val="28"/>
          <w:szCs w:val="28"/>
        </w:rPr>
        <w:t>）的方式。</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成绩产生方法</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为保证公开、公平、公正、透明地进行成绩评定，在裁判员的评分中，去掉一个最高分和一个最低分，取平均分作为选手技能得分。</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成绩审核方法</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各裁判员首先审核自身对选手的原始打分成绩，并签名；裁判长对所有裁判员的打分成绩进行审核，并签名。</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（二）成绩复核</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_GB2312" w:cs="仿宋_GB2312" w:hint="eastAsia"/>
          <w:sz w:val="28"/>
          <w:szCs w:val="28"/>
        </w:rPr>
        <w:t>为保障成绩评判的准确性，</w:t>
      </w:r>
      <w:r>
        <w:rPr>
          <w:rFonts w:ascii="仿宋_GB2312" w:eastAsia="仿宋_GB2312" w:hAnsi="仿宋" w:hint="eastAsia"/>
          <w:sz w:val="28"/>
          <w:szCs w:val="28"/>
        </w:rPr>
        <w:t>各裁判员首先审核自身对选手的原始打分成绩，并签名；裁判长对所有裁判员的打分成绩进行审核，并签名；最终，</w:t>
      </w:r>
      <w:r w:rsidR="00D7515E">
        <w:rPr>
          <w:rFonts w:ascii="仿宋_GB2312" w:eastAsia="仿宋_GB2312" w:hAnsi="仿宋" w:hint="eastAsia"/>
          <w:sz w:val="28"/>
          <w:szCs w:val="28"/>
        </w:rPr>
        <w:t>比赛</w:t>
      </w:r>
      <w:r>
        <w:rPr>
          <w:rFonts w:ascii="仿宋_GB2312" w:eastAsia="仿宋_GB2312" w:hAnsi="仿宋" w:hint="eastAsia"/>
          <w:sz w:val="28"/>
          <w:szCs w:val="28"/>
        </w:rPr>
        <w:t>大赛办总裁判长对本项目裁判员的打分成绩进行最终审核，并签名。</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（三）成绩公布</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大赛办对本项目裁判员的打分进行最终审核后，再根据成绩产生的方法，计算出选手最终成绩后，即可公布成绩。</w:t>
      </w:r>
    </w:p>
    <w:p w:rsidR="0073458A" w:rsidRDefault="00B9166C">
      <w:pPr>
        <w:pStyle w:val="a4"/>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（四）评分标准</w:t>
      </w:r>
    </w:p>
    <w:p w:rsidR="0073458A" w:rsidRDefault="00B9166C">
      <w:pPr>
        <w:spacing w:line="580" w:lineRule="exact"/>
        <w:ind w:firstLineChars="200" w:firstLine="560"/>
        <w:rPr>
          <w:rFonts w:ascii="仿宋_GB2312" w:eastAsia="仿宋_GB2312" w:hAnsi="仿宋_GB2312" w:cs="仿宋_GB2312"/>
          <w:b/>
          <w:kern w:val="0"/>
          <w:sz w:val="28"/>
          <w:szCs w:val="28"/>
        </w:rPr>
      </w:pPr>
      <w:r>
        <w:rPr>
          <w:rFonts w:ascii="仿宋_GB2312" w:eastAsia="仿宋_GB2312" w:hAnsi="仿宋_GB2312" w:cs="仿宋_GB2312" w:hint="eastAsia"/>
          <w:sz w:val="28"/>
          <w:szCs w:val="28"/>
        </w:rPr>
        <w:t>比赛评分由该项目裁判员统一评分，评分细则见表</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p>
    <w:p w:rsidR="0073458A" w:rsidRDefault="00B9166C">
      <w:pPr>
        <w:widowControl/>
        <w:adjustRightInd w:val="0"/>
        <w:snapToGrid w:val="0"/>
        <w:spacing w:line="580" w:lineRule="exact"/>
        <w:ind w:firstLineChars="200" w:firstLine="562"/>
        <w:jc w:val="center"/>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表</w:t>
      </w:r>
      <w:r>
        <w:rPr>
          <w:rFonts w:ascii="仿宋_GB2312" w:eastAsia="仿宋_GB2312" w:hAnsi="仿宋_GB2312" w:cs="仿宋_GB2312" w:hint="eastAsia"/>
          <w:b/>
          <w:kern w:val="0"/>
          <w:sz w:val="28"/>
          <w:szCs w:val="28"/>
        </w:rPr>
        <w:t>6</w:t>
      </w:r>
      <w:r>
        <w:rPr>
          <w:rFonts w:ascii="仿宋_GB2312" w:eastAsia="仿宋_GB2312" w:hAnsi="仿宋_GB2312" w:cs="仿宋_GB2312" w:hint="eastAsia"/>
          <w:b/>
          <w:kern w:val="0"/>
          <w:sz w:val="28"/>
          <w:szCs w:val="28"/>
        </w:rPr>
        <w:t>营养液配制评分细则</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271"/>
        <w:gridCol w:w="1251"/>
        <w:gridCol w:w="4305"/>
        <w:gridCol w:w="851"/>
      </w:tblGrid>
      <w:tr w:rsidR="0073458A">
        <w:trPr>
          <w:trHeight w:val="395"/>
          <w:jc w:val="center"/>
        </w:trPr>
        <w:tc>
          <w:tcPr>
            <w:tcW w:w="814"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序号</w:t>
            </w:r>
          </w:p>
        </w:tc>
        <w:tc>
          <w:tcPr>
            <w:tcW w:w="2522" w:type="dxa"/>
            <w:gridSpan w:val="2"/>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考核内容</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考核要点</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分值</w:t>
            </w:r>
          </w:p>
        </w:tc>
      </w:tr>
      <w:tr w:rsidR="0073458A">
        <w:trPr>
          <w:trHeight w:val="376"/>
          <w:jc w:val="center"/>
        </w:trPr>
        <w:tc>
          <w:tcPr>
            <w:tcW w:w="814" w:type="dxa"/>
            <w:vMerge w:val="restart"/>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1271" w:type="dxa"/>
            <w:vMerge w:val="restart"/>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母液配制</w:t>
            </w:r>
          </w:p>
        </w:tc>
        <w:tc>
          <w:tcPr>
            <w:tcW w:w="12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计算</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准确计算各种试剂所用量</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每空</w:t>
            </w:r>
            <w:r>
              <w:rPr>
                <w:rFonts w:ascii="仿宋_GB2312" w:eastAsia="仿宋_GB2312" w:hAnsi="仿宋_GB2312" w:cs="仿宋_GB2312" w:hint="eastAsia"/>
                <w:bCs/>
                <w:color w:val="000000"/>
                <w:sz w:val="24"/>
              </w:rPr>
              <w:t>1.5</w:t>
            </w:r>
            <w:r>
              <w:rPr>
                <w:rFonts w:ascii="仿宋_GB2312" w:eastAsia="仿宋_GB2312" w:hAnsi="仿宋_GB2312" w:cs="仿宋_GB2312" w:hint="eastAsia"/>
                <w:bCs/>
                <w:color w:val="000000"/>
                <w:sz w:val="24"/>
              </w:rPr>
              <w:t>分。</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w:t>
            </w:r>
          </w:p>
        </w:tc>
      </w:tr>
      <w:tr w:rsidR="0073458A">
        <w:trPr>
          <w:trHeight w:val="1081"/>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51" w:type="dxa"/>
            <w:vMerge w:val="restart"/>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试剂称量</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天平的使用（</w:t>
            </w:r>
            <w:r>
              <w:rPr>
                <w:rFonts w:ascii="仿宋_GB2312" w:eastAsia="仿宋_GB2312" w:hAnsi="仿宋_GB2312" w:cs="仿宋_GB2312" w:hint="eastAsia"/>
                <w:bCs/>
                <w:color w:val="000000"/>
                <w:sz w:val="24"/>
              </w:rPr>
              <w:t>A</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B</w:t>
            </w:r>
            <w:r>
              <w:rPr>
                <w:rFonts w:ascii="仿宋_GB2312" w:eastAsia="仿宋_GB2312" w:hAnsi="仿宋_GB2312" w:cs="仿宋_GB2312" w:hint="eastAsia"/>
                <w:bCs/>
                <w:color w:val="000000"/>
                <w:sz w:val="24"/>
              </w:rPr>
              <w:t>液试剂使用百分之一天平称量，</w:t>
            </w:r>
            <w:r>
              <w:rPr>
                <w:rFonts w:ascii="仿宋_GB2312" w:eastAsia="仿宋_GB2312" w:hAnsi="仿宋_GB2312" w:cs="仿宋_GB2312" w:hint="eastAsia"/>
                <w:bCs/>
                <w:color w:val="000000"/>
                <w:sz w:val="24"/>
              </w:rPr>
              <w:t>C</w:t>
            </w:r>
            <w:r>
              <w:rPr>
                <w:rFonts w:ascii="仿宋_GB2312" w:eastAsia="仿宋_GB2312" w:hAnsi="仿宋_GB2312" w:cs="仿宋_GB2312" w:hint="eastAsia"/>
                <w:bCs/>
                <w:color w:val="000000"/>
                <w:sz w:val="24"/>
              </w:rPr>
              <w:t>液试剂使用万分之一天平称量）。</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r>
      <w:tr w:rsidR="0073458A">
        <w:trPr>
          <w:trHeight w:val="395"/>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5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药品的称量。</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8</w:t>
            </w:r>
          </w:p>
        </w:tc>
      </w:tr>
      <w:tr w:rsidR="0073458A">
        <w:trPr>
          <w:trHeight w:val="395"/>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母液配制</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溶解、移液、贮液、贴标签。</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7</w:t>
            </w:r>
          </w:p>
        </w:tc>
      </w:tr>
      <w:tr w:rsidR="0073458A">
        <w:trPr>
          <w:trHeight w:val="395"/>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5556" w:type="dxa"/>
            <w:gridSpan w:val="2"/>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小</w:t>
            </w:r>
            <w:r>
              <w:rPr>
                <w:rFonts w:ascii="仿宋_GB2312" w:eastAsia="仿宋_GB2312" w:hAnsi="仿宋_GB2312" w:cs="仿宋_GB2312" w:hint="eastAsia"/>
                <w:bCs/>
                <w:color w:val="000000"/>
                <w:sz w:val="24"/>
              </w:rPr>
              <w:t xml:space="preserve">  </w:t>
            </w:r>
            <w:r>
              <w:rPr>
                <w:rFonts w:ascii="仿宋_GB2312" w:eastAsia="仿宋_GB2312" w:hAnsi="仿宋_GB2312" w:cs="仿宋_GB2312" w:hint="eastAsia"/>
                <w:bCs/>
                <w:color w:val="000000"/>
                <w:sz w:val="24"/>
              </w:rPr>
              <w:t>计</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25</w:t>
            </w:r>
          </w:p>
        </w:tc>
      </w:tr>
      <w:tr w:rsidR="0073458A">
        <w:trPr>
          <w:trHeight w:val="789"/>
          <w:jc w:val="center"/>
        </w:trPr>
        <w:tc>
          <w:tcPr>
            <w:tcW w:w="814" w:type="dxa"/>
            <w:vMerge w:val="restart"/>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c>
          <w:tcPr>
            <w:tcW w:w="1271" w:type="dxa"/>
            <w:vMerge w:val="restart"/>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工作液配制</w:t>
            </w:r>
          </w:p>
        </w:tc>
        <w:tc>
          <w:tcPr>
            <w:tcW w:w="12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计算</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准确计算</w:t>
            </w:r>
            <w:r>
              <w:rPr>
                <w:rFonts w:ascii="仿宋_GB2312" w:eastAsia="仿宋_GB2312" w:hAnsi="仿宋_GB2312" w:cs="仿宋_GB2312" w:hint="eastAsia"/>
                <w:bCs/>
                <w:color w:val="000000"/>
                <w:sz w:val="24"/>
              </w:rPr>
              <w:t>A</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B</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C</w:t>
            </w:r>
            <w:r>
              <w:rPr>
                <w:rFonts w:ascii="仿宋_GB2312" w:eastAsia="仿宋_GB2312" w:hAnsi="仿宋_GB2312" w:cs="仿宋_GB2312" w:hint="eastAsia"/>
                <w:bCs/>
                <w:color w:val="000000"/>
                <w:sz w:val="24"/>
              </w:rPr>
              <w:t>各浓缩母液的移取量，每空</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3</w:t>
            </w:r>
          </w:p>
        </w:tc>
      </w:tr>
      <w:tr w:rsidR="0073458A">
        <w:trPr>
          <w:trHeight w:val="317"/>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工作液</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配制</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移液、工作液溶解步骤、定容。</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8</w:t>
            </w:r>
          </w:p>
        </w:tc>
      </w:tr>
      <w:tr w:rsidR="0073458A">
        <w:trPr>
          <w:trHeight w:val="395"/>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台面整理</w:t>
            </w:r>
          </w:p>
        </w:tc>
        <w:tc>
          <w:tcPr>
            <w:tcW w:w="4305"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桌面整洁、药品试剂归原、贴标签。</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r>
      <w:tr w:rsidR="0073458A">
        <w:trPr>
          <w:trHeight w:val="413"/>
          <w:jc w:val="center"/>
        </w:trPr>
        <w:tc>
          <w:tcPr>
            <w:tcW w:w="814"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1271" w:type="dxa"/>
            <w:vMerge/>
            <w:vAlign w:val="center"/>
          </w:tcPr>
          <w:p w:rsidR="0073458A" w:rsidRDefault="0073458A">
            <w:pPr>
              <w:spacing w:line="580" w:lineRule="exact"/>
              <w:jc w:val="center"/>
              <w:rPr>
                <w:rFonts w:ascii="仿宋_GB2312" w:eastAsia="仿宋_GB2312" w:hAnsi="仿宋_GB2312" w:cs="仿宋_GB2312"/>
                <w:bCs/>
                <w:color w:val="000000"/>
                <w:sz w:val="24"/>
              </w:rPr>
            </w:pPr>
          </w:p>
        </w:tc>
        <w:tc>
          <w:tcPr>
            <w:tcW w:w="5556" w:type="dxa"/>
            <w:gridSpan w:val="2"/>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小</w:t>
            </w:r>
            <w:r>
              <w:rPr>
                <w:rFonts w:ascii="仿宋_GB2312" w:eastAsia="仿宋_GB2312" w:hAnsi="仿宋_GB2312" w:cs="仿宋_GB2312" w:hint="eastAsia"/>
                <w:bCs/>
                <w:color w:val="000000"/>
                <w:sz w:val="24"/>
              </w:rPr>
              <w:t xml:space="preserve">  </w:t>
            </w:r>
            <w:r>
              <w:rPr>
                <w:rFonts w:ascii="仿宋_GB2312" w:eastAsia="仿宋_GB2312" w:hAnsi="仿宋_GB2312" w:cs="仿宋_GB2312" w:hint="eastAsia"/>
                <w:bCs/>
                <w:color w:val="000000"/>
                <w:sz w:val="24"/>
              </w:rPr>
              <w:t>计</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15</w:t>
            </w:r>
          </w:p>
        </w:tc>
      </w:tr>
      <w:tr w:rsidR="0073458A">
        <w:trPr>
          <w:trHeight w:val="395"/>
          <w:jc w:val="center"/>
        </w:trPr>
        <w:tc>
          <w:tcPr>
            <w:tcW w:w="7641" w:type="dxa"/>
            <w:gridSpan w:val="4"/>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总</w:t>
            </w:r>
            <w:r>
              <w:rPr>
                <w:rFonts w:ascii="仿宋_GB2312" w:eastAsia="仿宋_GB2312" w:hAnsi="仿宋_GB2312" w:cs="仿宋_GB2312" w:hint="eastAsia"/>
                <w:bCs/>
                <w:color w:val="000000"/>
                <w:sz w:val="24"/>
              </w:rPr>
              <w:t xml:space="preserve">  </w:t>
            </w:r>
            <w:r>
              <w:rPr>
                <w:rFonts w:ascii="仿宋_GB2312" w:eastAsia="仿宋_GB2312" w:hAnsi="仿宋_GB2312" w:cs="仿宋_GB2312" w:hint="eastAsia"/>
                <w:bCs/>
                <w:color w:val="000000"/>
                <w:sz w:val="24"/>
              </w:rPr>
              <w:t>分</w:t>
            </w:r>
          </w:p>
        </w:tc>
        <w:tc>
          <w:tcPr>
            <w:tcW w:w="851" w:type="dxa"/>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40</w:t>
            </w:r>
          </w:p>
        </w:tc>
      </w:tr>
    </w:tbl>
    <w:p w:rsidR="0073458A" w:rsidRDefault="00B9166C">
      <w:pPr>
        <w:widowControl/>
        <w:adjustRightInd w:val="0"/>
        <w:snapToGrid w:val="0"/>
        <w:spacing w:line="580" w:lineRule="exact"/>
        <w:jc w:val="center"/>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表</w:t>
      </w:r>
      <w:r>
        <w:rPr>
          <w:rFonts w:ascii="仿宋_GB2312" w:eastAsia="仿宋_GB2312" w:hAnsi="仿宋_GB2312" w:cs="仿宋_GB2312" w:hint="eastAsia"/>
          <w:b/>
          <w:kern w:val="0"/>
          <w:sz w:val="28"/>
          <w:szCs w:val="28"/>
        </w:rPr>
        <w:t>7</w:t>
      </w:r>
      <w:r>
        <w:rPr>
          <w:rFonts w:ascii="仿宋_GB2312" w:eastAsia="仿宋_GB2312" w:hAnsi="仿宋_GB2312" w:cs="仿宋_GB2312" w:hint="eastAsia"/>
          <w:b/>
          <w:kern w:val="0"/>
          <w:sz w:val="28"/>
          <w:szCs w:val="28"/>
        </w:rPr>
        <w:t>嫁接操作评分细则</w:t>
      </w:r>
    </w:p>
    <w:tbl>
      <w:tblPr>
        <w:tblW w:w="8820" w:type="dxa"/>
        <w:tblLayout w:type="fixed"/>
        <w:tblLook w:val="04A0"/>
      </w:tblPr>
      <w:tblGrid>
        <w:gridCol w:w="541"/>
        <w:gridCol w:w="899"/>
        <w:gridCol w:w="3600"/>
        <w:gridCol w:w="3060"/>
        <w:gridCol w:w="720"/>
      </w:tblGrid>
      <w:tr w:rsidR="0073458A">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序号</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考核内容</w:t>
            </w:r>
          </w:p>
        </w:tc>
        <w:tc>
          <w:tcPr>
            <w:tcW w:w="360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考核要点</w:t>
            </w:r>
          </w:p>
        </w:tc>
        <w:tc>
          <w:tcPr>
            <w:tcW w:w="306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得分标准</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分值</w:t>
            </w:r>
          </w:p>
        </w:tc>
      </w:tr>
      <w:tr w:rsidR="0073458A">
        <w:trPr>
          <w:trHeight w:val="1750"/>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嫁接速度</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在规定的</w:t>
            </w:r>
            <w:r>
              <w:rPr>
                <w:rFonts w:ascii="仿宋_GB2312" w:eastAsia="仿宋_GB2312" w:hAnsi="仿宋_GB2312" w:cs="仿宋_GB2312" w:hint="eastAsia"/>
                <w:bCs/>
                <w:color w:val="000000"/>
                <w:sz w:val="24"/>
              </w:rPr>
              <w:t>40</w:t>
            </w:r>
            <w:r>
              <w:rPr>
                <w:rFonts w:ascii="仿宋_GB2312" w:eastAsia="仿宋_GB2312" w:hAnsi="仿宋_GB2312" w:cs="仿宋_GB2312" w:hint="eastAsia"/>
                <w:bCs/>
                <w:color w:val="000000"/>
                <w:sz w:val="24"/>
              </w:rPr>
              <w:t>分钟时间内，按照规范完成西瓜劈接、黄瓜顶端插接两项内容操作。</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完成一株西瓜劈接苗得</w:t>
            </w:r>
            <w:r>
              <w:rPr>
                <w:rFonts w:ascii="仿宋_GB2312" w:eastAsia="仿宋_GB2312" w:hAnsi="仿宋_GB2312" w:cs="仿宋_GB2312" w:hint="eastAsia"/>
                <w:bCs/>
                <w:color w:val="000000"/>
                <w:sz w:val="24"/>
              </w:rPr>
              <w:t>0.3</w:t>
            </w:r>
            <w:r>
              <w:rPr>
                <w:rFonts w:ascii="仿宋_GB2312" w:eastAsia="仿宋_GB2312" w:hAnsi="仿宋_GB2312" w:cs="仿宋_GB2312" w:hint="eastAsia"/>
                <w:bCs/>
                <w:color w:val="000000"/>
                <w:sz w:val="24"/>
              </w:rPr>
              <w:t>分，劈接满分</w:t>
            </w:r>
            <w:r>
              <w:rPr>
                <w:rFonts w:ascii="仿宋_GB2312" w:eastAsia="仿宋_GB2312" w:hAnsi="仿宋_GB2312" w:cs="仿宋_GB2312" w:hint="eastAsia"/>
                <w:bCs/>
                <w:color w:val="000000"/>
                <w:sz w:val="24"/>
              </w:rPr>
              <w:t>24</w:t>
            </w:r>
            <w:r>
              <w:rPr>
                <w:rFonts w:ascii="仿宋_GB2312" w:eastAsia="仿宋_GB2312" w:hAnsi="仿宋_GB2312" w:cs="仿宋_GB2312" w:hint="eastAsia"/>
                <w:bCs/>
                <w:color w:val="000000"/>
                <w:sz w:val="24"/>
              </w:rPr>
              <w:t>分，超过</w:t>
            </w:r>
            <w:r>
              <w:rPr>
                <w:rFonts w:ascii="仿宋_GB2312" w:eastAsia="仿宋_GB2312" w:hAnsi="仿宋_GB2312" w:cs="仿宋_GB2312" w:hint="eastAsia"/>
                <w:bCs/>
                <w:color w:val="000000"/>
                <w:sz w:val="24"/>
              </w:rPr>
              <w:t>80</w:t>
            </w:r>
            <w:r>
              <w:rPr>
                <w:rFonts w:ascii="仿宋_GB2312" w:eastAsia="仿宋_GB2312" w:hAnsi="仿宋_GB2312" w:cs="仿宋_GB2312" w:hint="eastAsia"/>
                <w:bCs/>
                <w:color w:val="000000"/>
                <w:sz w:val="24"/>
              </w:rPr>
              <w:t>有效株不再计分；完成一株黄瓜嫁接苗得</w:t>
            </w:r>
            <w:r>
              <w:rPr>
                <w:rFonts w:ascii="仿宋_GB2312" w:eastAsia="仿宋_GB2312" w:hAnsi="仿宋_GB2312" w:cs="仿宋_GB2312" w:hint="eastAsia"/>
                <w:bCs/>
                <w:color w:val="000000"/>
                <w:sz w:val="24"/>
              </w:rPr>
              <w:t>0.2</w:t>
            </w:r>
            <w:r>
              <w:rPr>
                <w:rFonts w:ascii="仿宋_GB2312" w:eastAsia="仿宋_GB2312" w:hAnsi="仿宋_GB2312" w:cs="仿宋_GB2312" w:hint="eastAsia"/>
                <w:bCs/>
                <w:color w:val="000000"/>
                <w:sz w:val="24"/>
              </w:rPr>
              <w:t>分，插接满分</w:t>
            </w:r>
            <w:r>
              <w:rPr>
                <w:rFonts w:ascii="仿宋_GB2312" w:eastAsia="仿宋_GB2312" w:hAnsi="仿宋_GB2312" w:cs="仿宋_GB2312" w:hint="eastAsia"/>
                <w:bCs/>
                <w:color w:val="000000"/>
                <w:sz w:val="24"/>
              </w:rPr>
              <w:t>24</w:t>
            </w:r>
            <w:r>
              <w:rPr>
                <w:rFonts w:ascii="仿宋_GB2312" w:eastAsia="仿宋_GB2312" w:hAnsi="仿宋_GB2312" w:cs="仿宋_GB2312" w:hint="eastAsia"/>
                <w:bCs/>
                <w:color w:val="000000"/>
                <w:sz w:val="24"/>
              </w:rPr>
              <w:t>分，超过</w:t>
            </w:r>
            <w:r>
              <w:rPr>
                <w:rFonts w:ascii="仿宋_GB2312" w:eastAsia="仿宋_GB2312" w:hAnsi="仿宋_GB2312" w:cs="仿宋_GB2312" w:hint="eastAsia"/>
                <w:bCs/>
                <w:color w:val="000000"/>
                <w:sz w:val="24"/>
              </w:rPr>
              <w:t>120</w:t>
            </w:r>
            <w:r>
              <w:rPr>
                <w:rFonts w:ascii="仿宋_GB2312" w:eastAsia="仿宋_GB2312" w:hAnsi="仿宋_GB2312" w:cs="仿宋_GB2312" w:hint="eastAsia"/>
                <w:bCs/>
                <w:color w:val="000000"/>
                <w:sz w:val="24"/>
              </w:rPr>
              <w:t>有效株不再计分。</w:t>
            </w:r>
            <w:r>
              <w:rPr>
                <w:rFonts w:ascii="仿宋_GB2312" w:eastAsia="仿宋_GB2312" w:hAnsi="仿宋_GB2312" w:cs="仿宋_GB2312" w:hint="eastAsia"/>
                <w:bCs/>
                <w:color w:val="000000"/>
                <w:sz w:val="24"/>
              </w:rPr>
              <w:t xml:space="preserve"> </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48</w:t>
            </w:r>
          </w:p>
        </w:tc>
      </w:tr>
      <w:tr w:rsidR="0073458A">
        <w:trPr>
          <w:trHeight w:val="994"/>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砧穗</w:t>
            </w:r>
            <w:r>
              <w:rPr>
                <w:rFonts w:ascii="仿宋_GB2312" w:eastAsia="仿宋_GB2312" w:hAnsi="仿宋_GB2312" w:cs="仿宋_GB2312" w:hint="eastAsia"/>
                <w:bCs/>
                <w:color w:val="000000"/>
                <w:sz w:val="24"/>
              </w:rPr>
              <w:lastRenderedPageBreak/>
              <w:t>选择</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挑选出子叶展开，真叶初露适期</w:t>
            </w:r>
            <w:r>
              <w:rPr>
                <w:rFonts w:ascii="仿宋_GB2312" w:eastAsia="仿宋_GB2312" w:hAnsi="仿宋_GB2312" w:cs="仿宋_GB2312" w:hint="eastAsia"/>
                <w:bCs/>
                <w:color w:val="000000"/>
                <w:sz w:val="24"/>
              </w:rPr>
              <w:lastRenderedPageBreak/>
              <w:t>葫芦砧木穴盘苗，挑选出子叶半展至平展的西瓜接穗苗。挑选第一片真叶平展，第二片真叶显露之前的南瓜砧木穴盘苗；选出子叶半展至平展的黄瓜接穗苗。</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选错一穴盘砧木类型扣</w:t>
            </w:r>
            <w:r>
              <w:rPr>
                <w:rFonts w:ascii="仿宋_GB2312" w:eastAsia="仿宋_GB2312" w:hAnsi="仿宋_GB2312" w:cs="仿宋_GB2312" w:hint="eastAsia"/>
                <w:bCs/>
                <w:color w:val="000000"/>
                <w:sz w:val="24"/>
              </w:rPr>
              <w:t>2</w:t>
            </w:r>
            <w:r>
              <w:rPr>
                <w:rFonts w:ascii="仿宋_GB2312" w:eastAsia="仿宋_GB2312" w:hAnsi="仿宋_GB2312" w:cs="仿宋_GB2312" w:hint="eastAsia"/>
                <w:bCs/>
                <w:color w:val="000000"/>
                <w:sz w:val="24"/>
              </w:rPr>
              <w:lastRenderedPageBreak/>
              <w:t>分，错选一株苗龄接穗苗扣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2</w:t>
            </w:r>
          </w:p>
        </w:tc>
      </w:tr>
      <w:tr w:rsidR="0073458A">
        <w:trPr>
          <w:trHeight w:val="793"/>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3</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工具</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消毒</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操作人员手指、刀片、竹签等嫁接工具用</w:t>
            </w:r>
            <w:r>
              <w:rPr>
                <w:rFonts w:ascii="仿宋_GB2312" w:eastAsia="仿宋_GB2312" w:hAnsi="仿宋_GB2312" w:cs="仿宋_GB2312" w:hint="eastAsia"/>
                <w:bCs/>
                <w:color w:val="000000"/>
                <w:sz w:val="24"/>
              </w:rPr>
              <w:t>75%</w:t>
            </w:r>
            <w:r>
              <w:rPr>
                <w:rFonts w:ascii="仿宋_GB2312" w:eastAsia="仿宋_GB2312" w:hAnsi="仿宋_GB2312" w:cs="仿宋_GB2312" w:hint="eastAsia"/>
                <w:bCs/>
                <w:color w:val="000000"/>
                <w:sz w:val="24"/>
              </w:rPr>
              <w:t>的酒精棉球消毒。</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每出现一处未消毒扣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1</w:t>
            </w:r>
          </w:p>
        </w:tc>
      </w:tr>
      <w:tr w:rsidR="0073458A">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4</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去生长点</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用嫁接工具剔除砧木真叶和生长点。</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每出现一株剔除不干净扣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分，用手直接剔除生长点扣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73458A">
        <w:trPr>
          <w:trHeight w:val="1307"/>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5</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插砧木</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劈接时，用刀片沿葫芦子叶内侧方向过轴心向下纵劈</w:t>
            </w:r>
            <w:r>
              <w:rPr>
                <w:rFonts w:ascii="仿宋_GB2312" w:eastAsia="仿宋_GB2312" w:hAnsi="仿宋_GB2312" w:cs="仿宋_GB2312" w:hint="eastAsia"/>
                <w:bCs/>
                <w:color w:val="000000"/>
                <w:sz w:val="24"/>
              </w:rPr>
              <w:t>1-1.5cm</w:t>
            </w:r>
            <w:r>
              <w:rPr>
                <w:rFonts w:ascii="仿宋_GB2312" w:eastAsia="仿宋_GB2312" w:hAnsi="仿宋_GB2312" w:cs="仿宋_GB2312" w:hint="eastAsia"/>
                <w:bCs/>
                <w:color w:val="000000"/>
                <w:sz w:val="24"/>
              </w:rPr>
              <w:t>，过胚轴心，下胚轴外侧不劈开，宽不小于接穗横径。</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插接时，用竹签紧贴南瓜子叶叶柄中脉基部向另一子叶叶柄基部成</w:t>
            </w:r>
            <w:r>
              <w:rPr>
                <w:rFonts w:ascii="仿宋_GB2312" w:eastAsia="仿宋_GB2312" w:hAnsi="仿宋_GB2312" w:cs="仿宋_GB2312" w:hint="eastAsia"/>
                <w:bCs/>
                <w:color w:val="000000"/>
                <w:sz w:val="24"/>
              </w:rPr>
              <w:t>30</w:t>
            </w:r>
            <w:r>
              <w:rPr>
                <w:rFonts w:ascii="仿宋_GB2312" w:eastAsia="仿宋_GB2312" w:hAnsi="仿宋_GB2312" w:cs="仿宋_GB2312" w:hint="eastAsia"/>
                <w:bCs/>
                <w:color w:val="000000"/>
                <w:sz w:val="24"/>
              </w:rPr>
              <w:t>～</w:t>
            </w:r>
            <w:r>
              <w:rPr>
                <w:rFonts w:ascii="仿宋_GB2312" w:eastAsia="仿宋_GB2312" w:hAnsi="仿宋_GB2312" w:cs="仿宋_GB2312" w:hint="eastAsia"/>
                <w:bCs/>
                <w:color w:val="000000"/>
                <w:sz w:val="24"/>
              </w:rPr>
              <w:t>45</w:t>
            </w:r>
            <w:r>
              <w:rPr>
                <w:rFonts w:ascii="仿宋_GB2312" w:eastAsia="仿宋_GB2312" w:hAnsi="仿宋_GB2312" w:cs="仿宋_GB2312" w:hint="eastAsia"/>
                <w:bCs/>
                <w:color w:val="000000"/>
                <w:sz w:val="24"/>
              </w:rPr>
              <w:t>°斜插，插孔深约</w:t>
            </w:r>
            <w:r>
              <w:rPr>
                <w:rFonts w:ascii="仿宋_GB2312" w:eastAsia="仿宋_GB2312" w:hAnsi="仿宋_GB2312" w:cs="仿宋_GB2312" w:hint="eastAsia"/>
                <w:bCs/>
                <w:color w:val="000000"/>
                <w:sz w:val="24"/>
              </w:rPr>
              <w:t>0.7</w:t>
            </w:r>
            <w:r>
              <w:rPr>
                <w:rFonts w:ascii="仿宋_GB2312" w:eastAsia="仿宋_GB2312" w:hAnsi="仿宋_GB2312" w:cs="仿宋_GB2312" w:hint="eastAsia"/>
                <w:bCs/>
                <w:color w:val="000000"/>
                <w:sz w:val="24"/>
              </w:rPr>
              <w:t>㎝，竹签即将穿透砧木苗表皮，手指有触感为宜，竹签暂不拔出。</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劈口过长或过短一株扣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分，出现胚轴两侧全劈开</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分。竹签角度不符合要求</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73458A">
        <w:trPr>
          <w:trHeight w:val="1339"/>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削接穗</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劈接时，在子叶下方</w:t>
            </w:r>
            <w:r>
              <w:rPr>
                <w:rFonts w:ascii="仿宋_GB2312" w:eastAsia="仿宋_GB2312" w:hAnsi="仿宋_GB2312" w:cs="仿宋_GB2312" w:hint="eastAsia"/>
                <w:bCs/>
                <w:color w:val="000000"/>
                <w:sz w:val="24"/>
              </w:rPr>
              <w:t>0.5-1</w:t>
            </w:r>
            <w:r>
              <w:rPr>
                <w:rFonts w:ascii="仿宋_GB2312" w:eastAsia="仿宋_GB2312" w:hAnsi="仿宋_GB2312" w:cs="仿宋_GB2312" w:hint="eastAsia"/>
                <w:bCs/>
                <w:color w:val="000000"/>
                <w:sz w:val="24"/>
              </w:rPr>
              <w:t>㎝处将接穗下胚轴削成双面楔形，削面长度和砧木切口深度相对应，长度控制在</w:t>
            </w:r>
            <w:r>
              <w:rPr>
                <w:rFonts w:ascii="仿宋_GB2312" w:eastAsia="仿宋_GB2312" w:hAnsi="仿宋_GB2312" w:cs="仿宋_GB2312" w:hint="eastAsia"/>
                <w:bCs/>
                <w:color w:val="000000"/>
                <w:sz w:val="24"/>
              </w:rPr>
              <w:t>1-1.5cm</w:t>
            </w:r>
            <w:r>
              <w:rPr>
                <w:rFonts w:ascii="仿宋_GB2312" w:eastAsia="仿宋_GB2312" w:hAnsi="仿宋_GB2312" w:cs="仿宋_GB2312" w:hint="eastAsia"/>
                <w:bCs/>
                <w:color w:val="000000"/>
                <w:sz w:val="24"/>
              </w:rPr>
              <w:t>，楔形面平</w:t>
            </w:r>
            <w:r>
              <w:rPr>
                <w:rFonts w:ascii="仿宋_GB2312" w:eastAsia="仿宋_GB2312" w:hAnsi="仿宋_GB2312" w:cs="仿宋_GB2312" w:hint="eastAsia"/>
                <w:bCs/>
                <w:color w:val="000000"/>
                <w:sz w:val="24"/>
              </w:rPr>
              <w:lastRenderedPageBreak/>
              <w:t>滑无污染。</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插接时，在黄瓜接穗子叶基部约</w:t>
            </w:r>
            <w:r>
              <w:rPr>
                <w:rFonts w:ascii="仿宋_GB2312" w:eastAsia="仿宋_GB2312" w:hAnsi="仿宋_GB2312" w:cs="仿宋_GB2312" w:hint="eastAsia"/>
                <w:bCs/>
                <w:color w:val="000000"/>
                <w:sz w:val="24"/>
              </w:rPr>
              <w:t>0.5</w:t>
            </w:r>
            <w:r>
              <w:rPr>
                <w:rFonts w:ascii="仿宋_GB2312" w:eastAsia="仿宋_GB2312" w:hAnsi="仿宋_GB2312" w:cs="仿宋_GB2312" w:hint="eastAsia"/>
                <w:bCs/>
                <w:color w:val="000000"/>
                <w:sz w:val="24"/>
              </w:rPr>
              <w:t>㎝处沿两子叶平行的方向向下胚轴方向斜切</w:t>
            </w:r>
            <w:r>
              <w:rPr>
                <w:rFonts w:ascii="仿宋_GB2312" w:eastAsia="仿宋_GB2312" w:hAnsi="仿宋_GB2312" w:cs="仿宋_GB2312" w:hint="eastAsia"/>
                <w:bCs/>
                <w:color w:val="000000"/>
                <w:sz w:val="24"/>
              </w:rPr>
              <w:t>0.5-0.6</w:t>
            </w:r>
            <w:r>
              <w:rPr>
                <w:rFonts w:ascii="仿宋_GB2312" w:eastAsia="仿宋_GB2312" w:hAnsi="仿宋_GB2312" w:cs="仿宋_GB2312" w:hint="eastAsia"/>
                <w:bCs/>
                <w:color w:val="000000"/>
                <w:sz w:val="24"/>
              </w:rPr>
              <w:t>㎝的平滑单楔面或双楔面，角度约为</w:t>
            </w:r>
            <w:r>
              <w:rPr>
                <w:rFonts w:ascii="仿宋_GB2312" w:eastAsia="仿宋_GB2312" w:hAnsi="仿宋_GB2312" w:cs="仿宋_GB2312" w:hint="eastAsia"/>
                <w:bCs/>
                <w:color w:val="000000"/>
                <w:sz w:val="24"/>
              </w:rPr>
              <w:t>30</w:t>
            </w:r>
            <w:r>
              <w:rPr>
                <w:rFonts w:ascii="仿宋_GB2312" w:eastAsia="仿宋_GB2312" w:hAnsi="仿宋_GB2312" w:cs="仿宋_GB2312" w:hint="eastAsia"/>
                <w:bCs/>
                <w:color w:val="000000"/>
                <w:sz w:val="24"/>
              </w:rPr>
              <w:t>°，切面平滑无污染。</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劈接时，接穗楔面过短或过长一株扣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分，劈接时西瓜切面未削成楔面一株扣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分，插接时，切面长度过短</w:t>
            </w:r>
            <w:r>
              <w:rPr>
                <w:rFonts w:ascii="仿宋_GB2312" w:eastAsia="仿宋_GB2312" w:hAnsi="仿宋_GB2312" w:cs="仿宋_GB2312" w:hint="eastAsia"/>
                <w:bCs/>
                <w:color w:val="000000"/>
                <w:sz w:val="24"/>
              </w:rPr>
              <w:lastRenderedPageBreak/>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1</w:t>
            </w:r>
          </w:p>
        </w:tc>
      </w:tr>
      <w:tr w:rsidR="0073458A">
        <w:trPr>
          <w:trHeight w:val="983"/>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lastRenderedPageBreak/>
              <w:t>7</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接合</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固定</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劈接时，将接穗楔面全部插入切口，使楔面一侧与砧木外表皮处于同一平面，用嫁接夹从劈口对侧夹住接穗，接穗楔面与砧木切口不移位。</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插接时，拔出竹签，将切好的接穗迅速准确地插入砧木切口内，使接穗与砧木紧密结合。接穗斜面与砧木斜面紧靠在一起，嫁接苗的四片子叶必须呈“十”字交叉。</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劈接时，嫁接夹方向用反</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分，破坏</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株接穗或砧木扣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w:t>
            </w:r>
          </w:p>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插接时，接穗单切面向上插入砧木</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处扣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分，接穗显著穿透砧木外表皮</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分，嫁接苗四片子叶不呈“十”字</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分，破坏</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株接穗或砧木扣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73458A">
        <w:trPr>
          <w:trHeight w:val="1763"/>
        </w:trPr>
        <w:tc>
          <w:tcPr>
            <w:tcW w:w="541" w:type="dxa"/>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8</w:t>
            </w:r>
          </w:p>
        </w:tc>
        <w:tc>
          <w:tcPr>
            <w:tcW w:w="899"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整理</w:t>
            </w:r>
          </w:p>
        </w:tc>
        <w:tc>
          <w:tcPr>
            <w:tcW w:w="360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保持操作台面清洁卫生，所用工具摆放原处，嫁接苗摆放整齐放在指定位置，在标签上写上工位号和日期贴在穴盘一顶端边缘，并喷雾保湿。</w:t>
            </w:r>
          </w:p>
        </w:tc>
        <w:tc>
          <w:tcPr>
            <w:tcW w:w="3060" w:type="dxa"/>
            <w:tcBorders>
              <w:top w:val="single" w:sz="4" w:space="0" w:color="auto"/>
              <w:left w:val="nil"/>
              <w:bottom w:val="single" w:sz="4" w:space="0" w:color="auto"/>
              <w:right w:val="single" w:sz="4" w:space="0" w:color="auto"/>
            </w:tcBorders>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未整理台面扣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分，未归原工具扣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分，未贴标签扣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分，未喷雾保湿扣</w:t>
            </w:r>
            <w:r>
              <w:rPr>
                <w:rFonts w:ascii="仿宋_GB2312" w:eastAsia="仿宋_GB2312" w:hAnsi="仿宋_GB2312" w:cs="仿宋_GB2312" w:hint="eastAsia"/>
                <w:bCs/>
                <w:color w:val="000000"/>
                <w:sz w:val="24"/>
              </w:rPr>
              <w:t>1</w:t>
            </w:r>
            <w:r>
              <w:rPr>
                <w:rFonts w:ascii="仿宋_GB2312" w:eastAsia="仿宋_GB2312" w:hAnsi="仿宋_GB2312" w:cs="仿宋_GB2312" w:hint="eastAsia"/>
                <w:bCs/>
                <w:color w:val="000000"/>
                <w:sz w:val="24"/>
              </w:rPr>
              <w:t>分。扣完为止。</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2</w:t>
            </w:r>
          </w:p>
        </w:tc>
      </w:tr>
      <w:tr w:rsidR="0073458A">
        <w:trPr>
          <w:trHeight w:val="678"/>
        </w:trPr>
        <w:tc>
          <w:tcPr>
            <w:tcW w:w="8100" w:type="dxa"/>
            <w:gridSpan w:val="4"/>
            <w:tcBorders>
              <w:top w:val="single" w:sz="4" w:space="0" w:color="auto"/>
              <w:left w:val="single" w:sz="4" w:space="0" w:color="auto"/>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总</w:t>
            </w:r>
            <w:r>
              <w:rPr>
                <w:rFonts w:ascii="仿宋_GB2312" w:eastAsia="仿宋_GB2312" w:hAnsi="仿宋_GB2312" w:cs="仿宋_GB2312" w:hint="eastAsia"/>
                <w:bCs/>
                <w:color w:val="000000"/>
                <w:sz w:val="24"/>
              </w:rPr>
              <w:t xml:space="preserve">  </w:t>
            </w:r>
            <w:r>
              <w:rPr>
                <w:rFonts w:ascii="仿宋_GB2312" w:eastAsia="仿宋_GB2312" w:hAnsi="仿宋_GB2312" w:cs="仿宋_GB2312" w:hint="eastAsia"/>
                <w:bCs/>
                <w:color w:val="000000"/>
                <w:sz w:val="24"/>
              </w:rPr>
              <w:t>分</w:t>
            </w:r>
          </w:p>
        </w:tc>
        <w:tc>
          <w:tcPr>
            <w:tcW w:w="720" w:type="dxa"/>
            <w:tcBorders>
              <w:top w:val="single" w:sz="4" w:space="0" w:color="auto"/>
              <w:left w:val="nil"/>
              <w:bottom w:val="single" w:sz="4" w:space="0" w:color="auto"/>
              <w:right w:val="single" w:sz="4" w:space="0" w:color="auto"/>
            </w:tcBorders>
            <w:vAlign w:val="center"/>
          </w:tcPr>
          <w:p w:rsidR="0073458A" w:rsidRDefault="00B9166C">
            <w:pPr>
              <w:spacing w:line="580" w:lineRule="exact"/>
              <w:jc w:val="center"/>
              <w:rPr>
                <w:rFonts w:ascii="仿宋_GB2312" w:eastAsia="仿宋_GB2312" w:hAnsi="仿宋_GB2312" w:cs="仿宋_GB2312"/>
                <w:bCs/>
                <w:color w:val="000000"/>
                <w:sz w:val="24"/>
              </w:rPr>
            </w:pPr>
            <w:r>
              <w:rPr>
                <w:rFonts w:ascii="仿宋_GB2312" w:eastAsia="仿宋_GB2312" w:hAnsi="仿宋_GB2312" w:cs="仿宋_GB2312" w:hint="eastAsia"/>
                <w:bCs/>
                <w:color w:val="000000"/>
                <w:sz w:val="24"/>
              </w:rPr>
              <w:t>60</w:t>
            </w:r>
          </w:p>
        </w:tc>
      </w:tr>
    </w:tbl>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lastRenderedPageBreak/>
        <w:t>十二、奖项设定</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 w:hint="eastAsia"/>
          <w:sz w:val="28"/>
          <w:szCs w:val="28"/>
        </w:rPr>
        <w:t>本赛项为个体奖。参照“沈阳市教育局市人社局市总工会团市委关于举办</w:t>
      </w:r>
      <w:r>
        <w:rPr>
          <w:rFonts w:ascii="仿宋_GB2312" w:eastAsia="仿宋_GB2312" w:hAnsi="仿宋"/>
          <w:sz w:val="28"/>
          <w:szCs w:val="28"/>
        </w:rPr>
        <w:t>201</w:t>
      </w:r>
      <w:r>
        <w:rPr>
          <w:rFonts w:ascii="仿宋_GB2312" w:eastAsia="仿宋_GB2312" w:hAnsi="仿宋" w:hint="eastAsia"/>
          <w:sz w:val="28"/>
          <w:szCs w:val="28"/>
        </w:rPr>
        <w:t>9</w:t>
      </w:r>
      <w:r>
        <w:rPr>
          <w:rFonts w:ascii="仿宋_GB2312" w:eastAsia="仿宋_GB2312" w:hAnsi="仿宋" w:hint="eastAsia"/>
          <w:sz w:val="28"/>
          <w:szCs w:val="28"/>
        </w:rPr>
        <w:t>年度沈阳市职业院校技能大赛的通知”文件精神执行</w:t>
      </w:r>
      <w:r>
        <w:rPr>
          <w:rFonts w:ascii="仿宋_GB2312" w:eastAsia="仿宋_GB2312" w:hAnsi="仿宋" w:hint="eastAsia"/>
          <w:sz w:val="28"/>
          <w:szCs w:val="28"/>
        </w:rPr>
        <w:t>。</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为防范比赛时安全事故、活体材料准备等事故发生，维护正常的比赛秩序，保证大赛按时、安全、有序完成，制定以下赛场应急预案。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（一）育苗气候环境调控应急预案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育苗期间，如遇连续阴雨天气，影响适龄育苗材料培育，赛项承办单位材料准备组采取人工补光、加热（降温）、多批次育苗、异地企业育苗等方式保障充足备用适龄苗使用。</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（二）仪器设备毁坏事件应急预案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每场</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现场准备</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套完成的天平、嫁接刀等仪器设备备用工位，应对临时工位设备出现意外，同时，在专家室备用一套完整仪器设备。</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（三）突发受伤医疗服务应急预案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由于蔬菜嫁接比赛需</w:t>
      </w:r>
      <w:r>
        <w:rPr>
          <w:rFonts w:ascii="仿宋_GB2312" w:eastAsia="仿宋_GB2312" w:hAnsi="仿宋_GB2312" w:cs="仿宋_GB2312" w:hint="eastAsia"/>
          <w:sz w:val="28"/>
          <w:szCs w:val="28"/>
        </w:rPr>
        <w:t>要使用剃须刀片等工具，加上比赛紧张，比赛中可能出现头晕、恶心、呕吐、出血等各种意外，配备现场医疗服务队，轻者在现场进行处理，重者转移至裁判工作室进行处理，严重者送往医院救治。</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（四）突发临时水电事件应急预案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如比赛时突发停水、停电，安全工作组维持次序的同时，积极调配专业电工，查明停电原因，采取相应措施。同时，现场配有水桶、动力电，以备停水停电时使用。</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（五）突发火灾事件应急预案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如发生火灾，及时通知现场负责人，组织人员疏散、切断电源，</w:t>
      </w:r>
      <w:r>
        <w:rPr>
          <w:rFonts w:ascii="仿宋_GB2312" w:eastAsia="仿宋_GB2312" w:hAnsi="仿宋_GB2312" w:cs="仿宋_GB2312" w:hint="eastAsia"/>
          <w:sz w:val="28"/>
          <w:szCs w:val="28"/>
        </w:rPr>
        <w:lastRenderedPageBreak/>
        <w:t>将易燃易爆物品及时转移到安全地段，同时组织人员使用适宜的灭火器材灭火。对轻</w:t>
      </w:r>
      <w:r>
        <w:rPr>
          <w:rFonts w:ascii="仿宋_GB2312" w:eastAsia="仿宋_GB2312" w:hAnsi="仿宋_GB2312" w:cs="仿宋_GB2312" w:hint="eastAsia"/>
          <w:sz w:val="28"/>
          <w:szCs w:val="28"/>
        </w:rPr>
        <w:t>伤人员有医疗人员进行处置，对重伤人员及时送往医院进行救治。</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（六）现场突发骚乱事件应急预案</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比赛中如出现争吵、打架等突发事件，赛项安保组及时上前制止，将滋事扰乱人员带出场地。维持现场比赛秩序，同时拨打</w:t>
      </w:r>
      <w:r>
        <w:rPr>
          <w:rFonts w:ascii="仿宋_GB2312" w:eastAsia="仿宋_GB2312" w:hAnsi="仿宋_GB2312" w:cs="仿宋_GB2312" w:hint="eastAsia"/>
          <w:sz w:val="28"/>
          <w:szCs w:val="28"/>
        </w:rPr>
        <w:t>110</w:t>
      </w:r>
      <w:r>
        <w:rPr>
          <w:rFonts w:ascii="仿宋_GB2312" w:eastAsia="仿宋_GB2312" w:hAnsi="仿宋_GB2312" w:cs="仿宋_GB2312" w:hint="eastAsia"/>
          <w:sz w:val="28"/>
          <w:szCs w:val="28"/>
        </w:rPr>
        <w:t>电话报警。</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（一）比赛赛场为</w:t>
      </w:r>
      <w:r w:rsidR="00D7515E">
        <w:rPr>
          <w:rFonts w:ascii="仿宋_GB2312" w:eastAsia="仿宋_GB2312" w:hAnsi="仿宋_GB2312" w:cs="仿宋_GB2312" w:hint="eastAsia"/>
          <w:sz w:val="28"/>
          <w:szCs w:val="28"/>
        </w:rPr>
        <w:t>沈阳职业院校</w:t>
      </w:r>
      <w:r>
        <w:rPr>
          <w:rFonts w:ascii="仿宋_GB2312" w:eastAsia="仿宋_GB2312" w:hAnsi="仿宋_GB2312" w:cs="仿宋_GB2312" w:hint="eastAsia"/>
          <w:sz w:val="28"/>
          <w:szCs w:val="28"/>
        </w:rPr>
        <w:t>技能大赛专用赛场，由专业人员管理比赛设备，电子监控体系进行全方位监控，保安人员维持赛场秩序，保障赛场安全。</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（二）所有涉赛场所一律凭大赛</w:t>
      </w:r>
      <w:r>
        <w:rPr>
          <w:rFonts w:ascii="仿宋_GB2312" w:eastAsia="仿宋_GB2312" w:hAnsi="仿宋_GB2312" w:cs="仿宋_GB2312" w:hint="eastAsia"/>
          <w:sz w:val="28"/>
          <w:szCs w:val="28"/>
        </w:rPr>
        <w:t>办</w:t>
      </w:r>
      <w:r>
        <w:rPr>
          <w:rFonts w:ascii="仿宋_GB2312" w:eastAsia="仿宋_GB2312" w:hAnsi="仿宋_GB2312" w:cs="仿宋_GB2312" w:hint="eastAsia"/>
          <w:sz w:val="28"/>
          <w:szCs w:val="28"/>
        </w:rPr>
        <w:t>统一配发证件进入。</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（三）进入所有涉赛场所人员一律不得携带包、食品、饮料等非</w:t>
      </w:r>
      <w:r w:rsidR="00D7515E">
        <w:rPr>
          <w:rFonts w:ascii="仿宋_GB2312" w:eastAsia="仿宋_GB2312" w:hAnsi="仿宋_GB2312" w:cs="仿宋_GB2312" w:hint="eastAsia"/>
          <w:sz w:val="28"/>
          <w:szCs w:val="28"/>
        </w:rPr>
        <w:t>大赛办</w:t>
      </w:r>
      <w:r>
        <w:rPr>
          <w:rFonts w:ascii="仿宋_GB2312" w:eastAsia="仿宋_GB2312" w:hAnsi="仿宋_GB2312" w:cs="仿宋_GB2312" w:hint="eastAsia"/>
          <w:sz w:val="28"/>
          <w:szCs w:val="28"/>
        </w:rPr>
        <w:t>允许带入的物品。</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（四）所有涉赛场所严</w:t>
      </w:r>
      <w:r>
        <w:rPr>
          <w:rFonts w:ascii="仿宋_GB2312" w:eastAsia="仿宋_GB2312" w:hAnsi="仿宋_GB2312" w:cs="仿宋_GB2312" w:hint="eastAsia"/>
          <w:sz w:val="28"/>
          <w:szCs w:val="28"/>
        </w:rPr>
        <w:t>禁吸烟。</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（五）人员进入赛场后要严格阅读现场的应急安全疏散图，当发生紧急情况，听到疏散指令（警报声响）时，要迅速按疏散图撤离赛场。</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须知</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（一）参赛队须知</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1.</w:t>
      </w:r>
      <w:r>
        <w:rPr>
          <w:rFonts w:ascii="仿宋_GB2312" w:hAnsi="仿宋_GB2312" w:cs="仿宋_GB2312" w:hint="eastAsia"/>
          <w:color w:val="000000"/>
          <w:szCs w:val="28"/>
        </w:rPr>
        <w:t>参赛队名称统一使用规定</w:t>
      </w:r>
      <w:r>
        <w:rPr>
          <w:rFonts w:ascii="仿宋_GB2312" w:hAnsi="仿宋_GB2312" w:cs="仿宋_GB2312" w:hint="eastAsia"/>
          <w:color w:val="000000"/>
          <w:szCs w:val="28"/>
        </w:rPr>
        <w:t>名称，不使用学校或其他组织、团体名称。</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2.</w:t>
      </w:r>
      <w:r>
        <w:rPr>
          <w:rFonts w:ascii="仿宋_GB2312" w:hAnsi="仿宋_GB2312" w:cs="仿宋_GB2312" w:hint="eastAsia"/>
          <w:color w:val="000000"/>
          <w:szCs w:val="28"/>
        </w:rPr>
        <w:t>参赛队员在报名获得审核确认后，原则上不再更换，如筹备过程中，队员因故不能参赛，所在省教育主管部门需出具书面说明并按</w:t>
      </w:r>
      <w:r>
        <w:rPr>
          <w:rFonts w:ascii="仿宋_GB2312" w:hAnsi="仿宋_GB2312" w:cs="仿宋_GB2312" w:hint="eastAsia"/>
          <w:color w:val="000000"/>
          <w:szCs w:val="28"/>
        </w:rPr>
        <w:lastRenderedPageBreak/>
        <w:t>相关规定补充人员并接受审核；</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开始后，参赛队不得更换参赛队员，允许队员缺席比赛。</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3.</w:t>
      </w:r>
      <w:r>
        <w:rPr>
          <w:rFonts w:ascii="仿宋_GB2312" w:hAnsi="仿宋_GB2312" w:cs="仿宋_GB2312" w:hint="eastAsia"/>
          <w:color w:val="000000"/>
          <w:szCs w:val="28"/>
        </w:rPr>
        <w:t>参赛队按照大赛赛程安排，凭大赛组委会颁发的参赛证和有效身份证件参加比赛</w:t>
      </w:r>
      <w:r>
        <w:rPr>
          <w:rFonts w:ascii="仿宋_GB2312" w:hAnsi="仿宋_GB2312" w:cs="仿宋_GB2312" w:hint="eastAsia"/>
          <w:color w:val="000000"/>
          <w:szCs w:val="28"/>
        </w:rPr>
        <w:t>。</w:t>
      </w:r>
    </w:p>
    <w:p w:rsidR="0073458A" w:rsidRDefault="00B9166C">
      <w:pPr>
        <w:pStyle w:val="5-"/>
        <w:adjustRightInd w:val="0"/>
        <w:snapToGrid w:val="0"/>
        <w:spacing w:beforeLines="0" w:afterLines="0" w:line="580" w:lineRule="exact"/>
        <w:ind w:firstLine="560"/>
        <w:rPr>
          <w:rFonts w:ascii="仿宋_GB2312" w:hAnsi="仿宋_GB2312" w:cs="仿宋_GB2312"/>
          <w:szCs w:val="28"/>
        </w:rPr>
      </w:pPr>
      <w:r>
        <w:rPr>
          <w:rFonts w:ascii="仿宋_GB2312" w:hAnsi="仿宋_GB2312" w:cs="仿宋_GB2312" w:hint="eastAsia"/>
          <w:color w:val="000000"/>
          <w:szCs w:val="28"/>
        </w:rPr>
        <w:t>4.</w:t>
      </w:r>
      <w:r>
        <w:rPr>
          <w:rFonts w:ascii="仿宋_GB2312" w:hAnsi="仿宋_GB2312" w:cs="仿宋_GB2312" w:hint="eastAsia"/>
          <w:color w:val="000000"/>
          <w:szCs w:val="28"/>
        </w:rPr>
        <w:t>参赛院校须为参赛队员购买保险。</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（二）指导教师须知</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1.</w:t>
      </w:r>
      <w:r>
        <w:rPr>
          <w:rFonts w:ascii="仿宋_GB2312" w:hAnsi="仿宋_GB2312" w:cs="仿宋_GB2312" w:hint="eastAsia"/>
          <w:color w:val="000000"/>
          <w:szCs w:val="28"/>
        </w:rPr>
        <w:t>各参赛代表队要发扬良好道德风尚，听从指挥，服从裁判，不弄虚作假。如发现弄虚作假者，取消参赛资格，名次无效。</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2.</w:t>
      </w:r>
      <w:r>
        <w:rPr>
          <w:rFonts w:ascii="仿宋_GB2312" w:hAnsi="仿宋_GB2312" w:cs="仿宋_GB2312" w:hint="eastAsia"/>
          <w:color w:val="000000"/>
          <w:szCs w:val="28"/>
        </w:rPr>
        <w:t>各代表队领队要坚决执行</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的各项规定，加强对参赛人员的管理，做好赛前准备工作，督促选手带好证件等</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相关材料。</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3.</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过程中，除参加当场次</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的选手、执行裁判员、现场工作人员和经批准的人员外，领队、指导教师及其他人员一律不得进入</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区域。</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4.</w:t>
      </w:r>
      <w:r>
        <w:rPr>
          <w:rFonts w:ascii="仿宋_GB2312" w:hAnsi="仿宋_GB2312" w:cs="仿宋_GB2312" w:hint="eastAsia"/>
          <w:color w:val="000000"/>
          <w:szCs w:val="28"/>
        </w:rPr>
        <w:t>参赛代</w:t>
      </w:r>
      <w:r>
        <w:rPr>
          <w:rFonts w:ascii="仿宋_GB2312" w:hAnsi="仿宋_GB2312" w:cs="仿宋_GB2312" w:hint="eastAsia"/>
          <w:color w:val="000000"/>
          <w:szCs w:val="28"/>
        </w:rPr>
        <w:t>表队若对</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过程有异议，在规定的时间内由领队向赛项仲裁工作组提出书面报告。</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5.</w:t>
      </w:r>
      <w:r>
        <w:rPr>
          <w:rFonts w:ascii="仿宋_GB2312" w:hAnsi="仿宋_GB2312" w:cs="仿宋_GB2312" w:hint="eastAsia"/>
          <w:color w:val="000000"/>
          <w:szCs w:val="28"/>
        </w:rPr>
        <w:t>对申诉的仲裁结果，领队要带头服从和执行，并做好选手工作。参赛选手不得因申诉或对处理意见不服而停止</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，否则以弃权处理。</w:t>
      </w:r>
    </w:p>
    <w:p w:rsidR="0073458A" w:rsidRDefault="00B9166C">
      <w:pPr>
        <w:pStyle w:val="5-"/>
        <w:adjustRightInd w:val="0"/>
        <w:snapToGrid w:val="0"/>
        <w:spacing w:beforeLines="0" w:afterLines="0" w:line="580" w:lineRule="exact"/>
        <w:ind w:firstLine="560"/>
        <w:rPr>
          <w:rFonts w:ascii="仿宋_GB2312" w:hAnsi="仿宋_GB2312" w:cs="仿宋_GB2312"/>
          <w:szCs w:val="28"/>
        </w:rPr>
      </w:pPr>
      <w:r>
        <w:rPr>
          <w:rFonts w:ascii="仿宋_GB2312" w:hAnsi="仿宋_GB2312" w:cs="仿宋_GB2312" w:hint="eastAsia"/>
          <w:color w:val="000000"/>
          <w:szCs w:val="28"/>
        </w:rPr>
        <w:t>6.</w:t>
      </w:r>
      <w:r>
        <w:rPr>
          <w:rFonts w:ascii="仿宋_GB2312" w:hAnsi="仿宋_GB2312" w:cs="仿宋_GB2312" w:hint="eastAsia"/>
          <w:color w:val="000000"/>
          <w:szCs w:val="28"/>
        </w:rPr>
        <w:t>指导老师应及时查看大赛专用网页有关赛项的通知和内容，认真研究和掌握本赛项</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的规程、技术规范和赛场要求，指导选手做好赛前的一切技术准备和</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准备。</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（三）参赛选手须知</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1.</w:t>
      </w:r>
      <w:r>
        <w:rPr>
          <w:rFonts w:ascii="仿宋_GB2312" w:hAnsi="仿宋_GB2312" w:cs="仿宋_GB2312" w:hint="eastAsia"/>
          <w:color w:val="000000"/>
          <w:szCs w:val="28"/>
        </w:rPr>
        <w:t>参赛选手应按有关要求如实填报个人信息，否则取消</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资格。</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2.</w:t>
      </w:r>
      <w:r>
        <w:rPr>
          <w:rFonts w:ascii="仿宋_GB2312" w:hAnsi="仿宋_GB2312" w:cs="仿宋_GB2312" w:hint="eastAsia"/>
          <w:color w:val="000000"/>
          <w:szCs w:val="28"/>
        </w:rPr>
        <w:t>参赛选手凭统一印制的参赛证和有效身份证件参加</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3.</w:t>
      </w:r>
      <w:r>
        <w:rPr>
          <w:rFonts w:ascii="仿宋_GB2312" w:hAnsi="仿宋_GB2312" w:cs="仿宋_GB2312" w:hint="eastAsia"/>
          <w:color w:val="000000"/>
          <w:szCs w:val="28"/>
        </w:rPr>
        <w:t>参赛选手应认真学习</w:t>
      </w:r>
      <w:r>
        <w:rPr>
          <w:rFonts w:ascii="仿宋_GB2312" w:hAnsi="仿宋_GB2312" w:cs="仿宋_GB2312" w:hint="eastAsia"/>
          <w:color w:val="000000"/>
          <w:szCs w:val="28"/>
        </w:rPr>
        <w:t>领会本次</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相关文件，自觉遵守大赛纪</w:t>
      </w:r>
      <w:r>
        <w:rPr>
          <w:rFonts w:ascii="仿宋_GB2312" w:hAnsi="仿宋_GB2312" w:cs="仿宋_GB2312" w:hint="eastAsia"/>
          <w:color w:val="000000"/>
          <w:szCs w:val="28"/>
        </w:rPr>
        <w:lastRenderedPageBreak/>
        <w:t>律，服从指挥，听从安排，文明参赛。</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4.</w:t>
      </w:r>
      <w:r>
        <w:rPr>
          <w:rFonts w:ascii="仿宋_GB2312" w:hAnsi="仿宋_GB2312" w:cs="仿宋_GB2312" w:hint="eastAsia"/>
          <w:color w:val="000000"/>
          <w:szCs w:val="28"/>
        </w:rPr>
        <w:t>参赛选手请勿携带与</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无关的电子设备、通讯设备及其他资料与用品。</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5.</w:t>
      </w:r>
      <w:r>
        <w:rPr>
          <w:rFonts w:ascii="仿宋_GB2312" w:hAnsi="仿宋_GB2312" w:cs="仿宋_GB2312" w:hint="eastAsia"/>
          <w:color w:val="000000"/>
          <w:szCs w:val="28"/>
        </w:rPr>
        <w:t>参赛选手应提前</w:t>
      </w:r>
      <w:r>
        <w:rPr>
          <w:rFonts w:ascii="仿宋_GB2312" w:hAnsi="仿宋_GB2312" w:cs="仿宋_GB2312" w:hint="eastAsia"/>
          <w:color w:val="000000"/>
          <w:szCs w:val="28"/>
        </w:rPr>
        <w:t>30</w:t>
      </w:r>
      <w:r>
        <w:rPr>
          <w:rFonts w:ascii="仿宋_GB2312" w:hAnsi="仿宋_GB2312" w:cs="仿宋_GB2312" w:hint="eastAsia"/>
          <w:color w:val="000000"/>
          <w:szCs w:val="28"/>
        </w:rPr>
        <w:t>分钟抵达赛场，凭参赛证、身份证件检录，按要求入场，不得迟到早退。</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6.</w:t>
      </w:r>
      <w:r>
        <w:rPr>
          <w:rFonts w:ascii="仿宋_GB2312" w:hAnsi="仿宋_GB2312" w:cs="仿宋_GB2312" w:hint="eastAsia"/>
          <w:color w:val="000000"/>
          <w:szCs w:val="28"/>
        </w:rPr>
        <w:t>参赛选手应按抽签结果在指定位置就坐。</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7.</w:t>
      </w:r>
      <w:r>
        <w:rPr>
          <w:rFonts w:ascii="仿宋_GB2312" w:hAnsi="仿宋_GB2312" w:cs="仿宋_GB2312" w:hint="eastAsia"/>
          <w:color w:val="000000"/>
          <w:szCs w:val="28"/>
        </w:rPr>
        <w:t>参赛选手须在确认</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内容和现场设备等无误后开始</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。在</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过程中，如有疑问，参赛选手应持“咨询”示意牌示意，项目裁判长应按照有关要求及时予以答疑。如遇设备或软件等故障，参赛选手应持“故障”示意牌示意，项目裁判长、技术人员等应及时予以解决</w:t>
      </w:r>
      <w:r>
        <w:rPr>
          <w:rFonts w:ascii="仿宋_GB2312" w:hAnsi="仿宋_GB2312" w:cs="仿宋_GB2312" w:hint="eastAsia"/>
          <w:color w:val="000000"/>
          <w:szCs w:val="28"/>
        </w:rPr>
        <w:t>。如遇身体不适，参赛选手应持“医务”示意牌示意，现场医务人员按应急预案救治。</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8.</w:t>
      </w:r>
      <w:r>
        <w:rPr>
          <w:rFonts w:ascii="仿宋_GB2312" w:hAnsi="仿宋_GB2312" w:cs="仿宋_GB2312" w:hint="eastAsia"/>
          <w:color w:val="000000"/>
          <w:szCs w:val="28"/>
        </w:rPr>
        <w:t>各参赛选手必须按规范要求操作</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设备。一旦出现较严重的安全事故，经裁判长批准后将立即取消其参赛资格。</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color w:val="000000"/>
          <w:szCs w:val="28"/>
        </w:rPr>
        <w:t>9.</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时间终了，选手应全体起立，结束操作。经现场指挥人员发出指令后，方可离开赛场。</w:t>
      </w:r>
    </w:p>
    <w:p w:rsidR="0073458A" w:rsidRDefault="00B9166C">
      <w:pPr>
        <w:pStyle w:val="5-"/>
        <w:adjustRightInd w:val="0"/>
        <w:snapToGrid w:val="0"/>
        <w:spacing w:beforeLines="0" w:afterLines="0" w:line="580" w:lineRule="exact"/>
        <w:ind w:firstLine="560"/>
        <w:rPr>
          <w:rFonts w:ascii="仿宋_GB2312" w:hAnsi="仿宋_GB2312" w:cs="仿宋_GB2312"/>
          <w:szCs w:val="28"/>
        </w:rPr>
      </w:pPr>
      <w:r>
        <w:rPr>
          <w:rFonts w:ascii="仿宋_GB2312" w:hAnsi="仿宋_GB2312" w:cs="仿宋_GB2312" w:hint="eastAsia"/>
          <w:color w:val="000000"/>
          <w:szCs w:val="28"/>
        </w:rPr>
        <w:t>10.</w:t>
      </w:r>
      <w:r>
        <w:rPr>
          <w:rFonts w:ascii="仿宋_GB2312" w:hAnsi="仿宋_GB2312" w:cs="仿宋_GB2312" w:hint="eastAsia"/>
          <w:color w:val="000000"/>
          <w:szCs w:val="28"/>
        </w:rPr>
        <w:t>在</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期间，未经</w:t>
      </w:r>
      <w:r w:rsidR="00D7515E">
        <w:rPr>
          <w:rFonts w:ascii="仿宋_GB2312" w:hAnsi="仿宋_GB2312" w:cs="仿宋_GB2312" w:hint="eastAsia"/>
          <w:color w:val="000000"/>
          <w:szCs w:val="28"/>
        </w:rPr>
        <w:t>大赛办</w:t>
      </w:r>
      <w:r>
        <w:rPr>
          <w:rFonts w:ascii="仿宋_GB2312" w:hAnsi="仿宋_GB2312" w:cs="仿宋_GB2312" w:hint="eastAsia"/>
          <w:color w:val="000000"/>
          <w:szCs w:val="28"/>
        </w:rPr>
        <w:t>的批准，参赛选手不得接受其他单位和个人进行的与</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内容相关的采访。参赛选手不得将</w:t>
      </w:r>
      <w:r w:rsidR="00D7515E">
        <w:rPr>
          <w:rFonts w:ascii="仿宋_GB2312" w:hAnsi="仿宋_GB2312" w:cs="仿宋_GB2312" w:hint="eastAsia"/>
          <w:color w:val="000000"/>
          <w:szCs w:val="28"/>
        </w:rPr>
        <w:t>比赛</w:t>
      </w:r>
      <w:r>
        <w:rPr>
          <w:rFonts w:ascii="仿宋_GB2312" w:hAnsi="仿宋_GB2312" w:cs="仿宋_GB2312" w:hint="eastAsia"/>
          <w:color w:val="000000"/>
          <w:szCs w:val="28"/>
        </w:rPr>
        <w:t>的相关信息私自公布。</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（四）工作人员须知</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大赛全体工作人员必须服从组委会统一指挥，认真履行职责，做好比赛服务工作。</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全体工</w:t>
      </w:r>
      <w:r>
        <w:rPr>
          <w:rFonts w:ascii="仿宋_GB2312" w:eastAsia="仿宋_GB2312" w:hAnsi="仿宋_GB2312" w:cs="仿宋_GB2312" w:hint="eastAsia"/>
          <w:sz w:val="28"/>
          <w:szCs w:val="28"/>
        </w:rPr>
        <w:t>作人员要按分工准时到岗，尽职尽责做好份内各项工作，保证比赛顺利进行。</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3.</w:t>
      </w:r>
      <w:r>
        <w:rPr>
          <w:rFonts w:ascii="仿宋_GB2312" w:eastAsia="仿宋_GB2312" w:hAnsi="仿宋_GB2312" w:cs="仿宋_GB2312" w:hint="eastAsia"/>
          <w:sz w:val="28"/>
          <w:szCs w:val="28"/>
        </w:rPr>
        <w:t>认真检查、核准证件，非参赛选手不准进入赛场。同时，要安排好领队、指导教师休息。</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比赛出现技术问题（包括设备、器材等）时，应与及时联系各项技术负责人，妥善处理；如需重新比赛，须得要得到组委会同意后方可进行。</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如遇突发事件，要及时向组委会报告，同时做好疏导工作，避免重大事故发生，确保大赛圆满成功。</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要认真组织好参赛选手的赛前准备工作，遇有重大问题及时与组委会联系协商解决办法。</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各项比赛的技术负责人，一定要坚守岗位，要对比赛技术操作的全过程负责。</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工作人员不要在赛场内接听或打电话，负责现场的人员在比赛期间一律关闭手机</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本赛项在比赛过程中若出现有失公正或有关人员违规等现象，代表队领队可在比赛结束后</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小时之内向仲裁组提出书面申诉。书面申诉应对申诉事件的现象、发生时间、涉及人员、申诉依据等进行充分、实事求是的叙述，并由领队亲笔签名。非书面申诉不予受理。</w:t>
      </w:r>
      <w:r>
        <w:rPr>
          <w:rFonts w:ascii="仿宋_GB2312" w:eastAsia="仿宋_GB2312" w:hAnsi="仿宋_GB2312" w:cs="仿宋_GB2312" w:hint="eastAsia"/>
          <w:sz w:val="28"/>
          <w:szCs w:val="28"/>
        </w:rPr>
        <w:t xml:space="preserve"> </w:t>
      </w:r>
    </w:p>
    <w:p w:rsidR="0073458A" w:rsidRDefault="00B9166C">
      <w:pPr>
        <w:snapToGrid w:val="0"/>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赛项仲裁工作组在接到申诉后的</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小时内组织复议，并及时反馈复议结果</w:t>
      </w:r>
      <w:r w:rsidR="00D26CE1">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仲裁结果为最终结果。</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观摩</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赛场内设定观摩区域和参观路线，向媒体、企业代表、院校师生及家长等社会公众开放，不允许有大声喧哗等影响参赛选手</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的行为发生。指导教师不能进入赛场内指导，可以观摩。赛场外设立展览</w:t>
      </w:r>
      <w:r>
        <w:rPr>
          <w:rFonts w:ascii="仿宋_GB2312" w:eastAsia="仿宋_GB2312" w:hAnsi="仿宋_GB2312" w:cs="仿宋_GB2312" w:hint="eastAsia"/>
          <w:sz w:val="28"/>
          <w:szCs w:val="28"/>
        </w:rPr>
        <w:lastRenderedPageBreak/>
        <w:t>展示区域，设专人接待讲解。</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为保证大赛顺利进行，在观摩期间应遵循以下规则：</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除与</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直接有关工作人员、裁判员、参赛选手外，其余人员均为观摩观众。</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请勿在选手准备或比赛中交谈或欢呼；请勿对选手打手势，包括哑语沟通等明示、暗示行为，禁止鼓掌喝彩等发出声</w:t>
      </w:r>
      <w:r>
        <w:rPr>
          <w:rFonts w:ascii="仿宋_GB2312" w:eastAsia="仿宋_GB2312" w:hAnsi="仿宋_GB2312" w:cs="仿宋_GB2312" w:hint="eastAsia"/>
          <w:sz w:val="28"/>
          <w:szCs w:val="28"/>
        </w:rPr>
        <w:t>音的行为。</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请勿在观摩赛场地内使用相机、摄影机等一切对比赛正常进行造成干扰的带有闪光灯及快门音的设备。</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不得违反</w:t>
      </w:r>
      <w:r w:rsidR="00D26CE1">
        <w:rPr>
          <w:rFonts w:ascii="仿宋_GB2312" w:eastAsia="仿宋_GB2312" w:hAnsi="仿宋_GB2312" w:cs="仿宋_GB2312" w:hint="eastAsia"/>
          <w:sz w:val="28"/>
          <w:szCs w:val="28"/>
        </w:rPr>
        <w:t>沈阳</w:t>
      </w:r>
      <w:r>
        <w:rPr>
          <w:rFonts w:ascii="仿宋_GB2312" w:eastAsia="仿宋_GB2312" w:hAnsi="仿宋_GB2312" w:cs="仿宋_GB2312" w:hint="eastAsia"/>
          <w:sz w:val="28"/>
          <w:szCs w:val="28"/>
        </w:rPr>
        <w:t>职业院校技能大赛规定的各项纪律。请站在规划的观摩席或者安全线以外观看比赛，并遵循赛场内工作人员和</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裁判人员的指挥，不得有围攻裁判员、选手或者其他工作人员的行为。</w:t>
      </w:r>
    </w:p>
    <w:p w:rsidR="0073458A" w:rsidRDefault="00B9166C">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请务必保持赛场清洁，将饮料食品包装、烟头及其他杂物扔进垃圾箱。</w:t>
      </w:r>
    </w:p>
    <w:p w:rsidR="0073458A" w:rsidRDefault="00B9166C" w:rsidP="00D7515E">
      <w:pPr>
        <w:spacing w:line="580" w:lineRule="exact"/>
        <w:ind w:firstLineChars="221" w:firstLine="619"/>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观摩期间，严重违纪者除本人被逐出观摩赛场地外，还将视情况严重程度对所在代表队的选手的成绩进行扣分直至取消比赛资格。</w:t>
      </w:r>
    </w:p>
    <w:p w:rsidR="0073458A" w:rsidRDefault="00B9166C">
      <w:pPr>
        <w:pStyle w:val="5-"/>
        <w:adjustRightInd w:val="0"/>
        <w:snapToGrid w:val="0"/>
        <w:spacing w:beforeLines="0" w:afterLines="0" w:line="580" w:lineRule="exact"/>
        <w:ind w:firstLine="560"/>
        <w:rPr>
          <w:rFonts w:ascii="仿宋_GB2312" w:hAnsi="仿宋_GB2312" w:cs="仿宋_GB2312"/>
          <w:color w:val="000000"/>
          <w:szCs w:val="28"/>
        </w:rPr>
      </w:pPr>
      <w:r>
        <w:rPr>
          <w:rFonts w:ascii="仿宋_GB2312" w:hAnsi="仿宋_GB2312" w:cs="仿宋_GB2312" w:hint="eastAsia"/>
          <w:szCs w:val="28"/>
        </w:rPr>
        <w:t>7.</w:t>
      </w:r>
      <w:r>
        <w:rPr>
          <w:rFonts w:ascii="仿宋_GB2312" w:hAnsi="仿宋_GB2312" w:cs="仿宋_GB2312" w:hint="eastAsia"/>
          <w:szCs w:val="28"/>
        </w:rPr>
        <w:t>如果对裁判裁决产生质疑的，请通过</w:t>
      </w:r>
      <w:r>
        <w:rPr>
          <w:rFonts w:ascii="仿宋_GB2312" w:hAnsi="仿宋_GB2312" w:cs="仿宋_GB2312" w:hint="eastAsia"/>
          <w:szCs w:val="28"/>
        </w:rPr>
        <w:t>各参赛队领队向赛项仲裁组提出，不得在比赛现场发言。</w:t>
      </w:r>
      <w:r>
        <w:rPr>
          <w:rFonts w:ascii="仿宋_GB2312" w:hAnsi="仿宋_GB2312" w:cs="仿宋_GB2312" w:hint="eastAsia"/>
          <w:szCs w:val="28"/>
        </w:rPr>
        <w:t xml:space="preserve">  </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w:t>
      </w:r>
      <w:r w:rsidR="00D7515E">
        <w:rPr>
          <w:rFonts w:ascii="仿宋_GB2312" w:eastAsia="仿宋_GB2312" w:hAnsi="仿宋_GB2312" w:cs="仿宋_GB2312" w:hint="eastAsia"/>
          <w:b/>
          <w:bCs/>
          <w:sz w:val="28"/>
          <w:szCs w:val="28"/>
        </w:rPr>
        <w:t>比赛</w:t>
      </w:r>
      <w:r>
        <w:rPr>
          <w:rFonts w:ascii="仿宋_GB2312" w:eastAsia="仿宋_GB2312" w:hAnsi="仿宋_GB2312" w:cs="仿宋_GB2312" w:hint="eastAsia"/>
          <w:b/>
          <w:bCs/>
          <w:sz w:val="28"/>
          <w:szCs w:val="28"/>
        </w:rPr>
        <w:t>直播</w:t>
      </w:r>
    </w:p>
    <w:p w:rsidR="0073458A" w:rsidRDefault="00B9166C">
      <w:pPr>
        <w:spacing w:line="580" w:lineRule="exact"/>
        <w:ind w:firstLineChars="199" w:firstLine="557"/>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赛场内部署无盲点录像设备，能实时录制并播送赛场情况；</w:t>
      </w:r>
    </w:p>
    <w:p w:rsidR="0073458A" w:rsidRDefault="00B9166C">
      <w:pPr>
        <w:spacing w:line="580" w:lineRule="exac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w:t>
      </w:r>
      <w:r>
        <w:rPr>
          <w:rFonts w:ascii="仿宋_GB2312" w:eastAsia="仿宋_GB2312" w:hAnsi="仿宋_GB2312" w:cs="仿宋_GB2312" w:hint="eastAsia"/>
          <w:sz w:val="28"/>
          <w:szCs w:val="28"/>
        </w:rPr>
        <w:t>赛场外有大屏幕或投影，同步显示赛场内</w:t>
      </w:r>
      <w:r w:rsidR="00D7515E">
        <w:rPr>
          <w:rFonts w:ascii="仿宋_GB2312" w:eastAsia="仿宋_GB2312" w:hAnsi="仿宋_GB2312" w:cs="仿宋_GB2312" w:hint="eastAsia"/>
          <w:sz w:val="28"/>
          <w:szCs w:val="28"/>
        </w:rPr>
        <w:t>比赛</w:t>
      </w:r>
      <w:r>
        <w:rPr>
          <w:rFonts w:ascii="仿宋_GB2312" w:eastAsia="仿宋_GB2312" w:hAnsi="仿宋_GB2312" w:cs="仿宋_GB2312" w:hint="eastAsia"/>
          <w:sz w:val="28"/>
          <w:szCs w:val="28"/>
        </w:rPr>
        <w:t>状况；</w:t>
      </w:r>
    </w:p>
    <w:p w:rsidR="0073458A" w:rsidRDefault="00B9166C">
      <w:pPr>
        <w:spacing w:line="580" w:lineRule="exac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w:t>
      </w:r>
      <w:r>
        <w:rPr>
          <w:rFonts w:ascii="仿宋_GB2312" w:eastAsia="仿宋_GB2312" w:hAnsi="仿宋_GB2312" w:cs="仿宋_GB2312" w:hint="eastAsia"/>
          <w:sz w:val="28"/>
          <w:szCs w:val="28"/>
        </w:rPr>
        <w:t>条件允许时，可以进行网上直播。</w:t>
      </w:r>
    </w:p>
    <w:p w:rsidR="0073458A" w:rsidRDefault="00B9166C">
      <w:pPr>
        <w:spacing w:line="580" w:lineRule="exact"/>
        <w:ind w:firstLineChars="49" w:firstLine="137"/>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w:t>
      </w:r>
      <w:r>
        <w:rPr>
          <w:rFonts w:ascii="仿宋_GB2312" w:eastAsia="仿宋_GB2312" w:hAnsi="仿宋_GB2312" w:cs="仿宋_GB2312" w:hint="eastAsia"/>
          <w:sz w:val="28"/>
          <w:szCs w:val="28"/>
        </w:rPr>
        <w:t>多机位拍摄开闭幕式，制作优秀选手采访、优秀指导教师采访、裁判专家点评和企业人士采访视频资料，突出赛项的技能重点与优势</w:t>
      </w:r>
      <w:r>
        <w:rPr>
          <w:rFonts w:ascii="仿宋_GB2312" w:eastAsia="仿宋_GB2312" w:hAnsi="仿宋_GB2312" w:cs="仿宋_GB2312" w:hint="eastAsia"/>
          <w:sz w:val="28"/>
          <w:szCs w:val="28"/>
        </w:rPr>
        <w:lastRenderedPageBreak/>
        <w:t>特色。为宣传、仲裁、资源转化提供全面的信息资料。</w:t>
      </w:r>
    </w:p>
    <w:p w:rsidR="0073458A" w:rsidRDefault="00B9166C">
      <w:pPr>
        <w:spacing w:line="580" w:lineRule="exact"/>
        <w:ind w:firstLineChars="200" w:firstLine="562"/>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73458A" w:rsidRDefault="00D26CE1">
      <w:pPr>
        <w:spacing w:line="58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根据赛项有关精神，按照</w:t>
      </w:r>
      <w:r w:rsidR="00D7515E">
        <w:rPr>
          <w:rFonts w:ascii="仿宋_GB2312" w:eastAsia="仿宋_GB2312" w:hAnsi="仿宋_GB2312" w:cs="仿宋_GB2312" w:hint="eastAsia"/>
          <w:sz w:val="28"/>
          <w:szCs w:val="28"/>
        </w:rPr>
        <w:t>大赛办</w:t>
      </w:r>
      <w:r w:rsidR="00B9166C">
        <w:rPr>
          <w:rFonts w:ascii="仿宋_GB2312" w:eastAsia="仿宋_GB2312" w:hAnsi="仿宋_GB2312" w:cs="仿宋_GB2312" w:hint="eastAsia"/>
          <w:sz w:val="28"/>
          <w:szCs w:val="28"/>
        </w:rPr>
        <w:t>的要求，完成“蔬菜嫁接”赛项的相关资源转化。</w:t>
      </w:r>
    </w:p>
    <w:p w:rsidR="0073458A" w:rsidRDefault="00B9166C" w:rsidP="00D7515E">
      <w:pPr>
        <w:spacing w:line="580" w:lineRule="exact"/>
        <w:ind w:firstLineChars="196" w:firstLine="549"/>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基本资源</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使大赛成为教学资源转化的平台。一是编写大赛指导手册，指导学生规范地进行技能训练；二是对赛项进行分析，将比赛相关内容迁移到课程教学内容之中；三是在教学资源库建设中，增加本项技能大赛的相关内容。</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2.</w:t>
      </w:r>
      <w:r>
        <w:rPr>
          <w:rFonts w:ascii="仿宋_GB2312" w:eastAsia="仿宋_GB2312" w:hAnsi="仿宋" w:hint="eastAsia"/>
          <w:sz w:val="28"/>
          <w:szCs w:val="28"/>
        </w:rPr>
        <w:t>建设资源</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本赛项建设的资源有赛项资料文本、视频资料和图片资料等，本赛项资料文本包括本赛项通知、本赛项比赛规则、本赛项比赛规程等；本赛项视频资料主要包括本赛项全程录像资料、优秀选手和优秀指导教师进行采访所拍摄的视频资料，以及裁判专家点评、相关企业人士采访的视频资料等。</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3.</w:t>
      </w:r>
      <w:r>
        <w:rPr>
          <w:rFonts w:ascii="仿宋_GB2312" w:eastAsia="仿宋_GB2312" w:hAnsi="仿宋" w:hint="eastAsia"/>
          <w:sz w:val="28"/>
          <w:szCs w:val="28"/>
        </w:rPr>
        <w:t>拓展资源</w:t>
      </w:r>
    </w:p>
    <w:p w:rsidR="0073458A" w:rsidRDefault="00B9166C">
      <w:pPr>
        <w:spacing w:line="580" w:lineRule="exact"/>
        <w:ind w:firstLineChars="200" w:firstLine="560"/>
        <w:rPr>
          <w:rFonts w:ascii="仿宋_GB2312" w:eastAsia="仿宋_GB2312" w:hAnsi="仿宋"/>
          <w:sz w:val="28"/>
          <w:szCs w:val="28"/>
        </w:rPr>
      </w:pPr>
      <w:r>
        <w:rPr>
          <w:rFonts w:ascii="仿宋_GB2312" w:eastAsia="仿宋_GB2312" w:hAnsi="仿宋" w:hint="eastAsia"/>
          <w:sz w:val="28"/>
          <w:szCs w:val="28"/>
        </w:rPr>
        <w:t>本赛项资源通过师资培训，发放相关资料，达到资源转化的目的；通过各种信息交流（如电话、互访等），向学校和教师推介本赛项的资源，让更多学校和教师了解成果；通过技能大赛网站，共享本赛项的资源，无偿提供给所需单位和个人使用。</w:t>
      </w:r>
    </w:p>
    <w:p w:rsidR="0073458A" w:rsidRDefault="0073458A">
      <w:pPr>
        <w:spacing w:line="580" w:lineRule="exact"/>
        <w:ind w:firstLineChars="200" w:firstLine="560"/>
        <w:rPr>
          <w:rFonts w:ascii="仿宋_GB2312" w:eastAsia="仿宋_GB2312" w:hAnsi="仿宋_GB2312" w:cs="仿宋_GB2312"/>
          <w:sz w:val="28"/>
          <w:szCs w:val="28"/>
        </w:rPr>
      </w:pPr>
    </w:p>
    <w:p w:rsidR="0073458A" w:rsidRDefault="0073458A">
      <w:pPr>
        <w:snapToGrid w:val="0"/>
        <w:spacing w:line="580" w:lineRule="exact"/>
        <w:rPr>
          <w:rFonts w:ascii="Times New Roman" w:eastAsia="仿宋" w:hAnsi="Times New Roman"/>
          <w:bCs/>
          <w:sz w:val="28"/>
          <w:szCs w:val="28"/>
        </w:rPr>
      </w:pPr>
    </w:p>
    <w:bookmarkEnd w:id="0"/>
    <w:p w:rsidR="0073458A" w:rsidRDefault="0073458A">
      <w:pPr>
        <w:snapToGrid w:val="0"/>
        <w:spacing w:line="580" w:lineRule="exact"/>
        <w:rPr>
          <w:rFonts w:ascii="Times New Roman" w:eastAsia="仿宋" w:hAnsi="Times New Roman"/>
          <w:bCs/>
          <w:sz w:val="28"/>
          <w:szCs w:val="28"/>
        </w:rPr>
      </w:pPr>
    </w:p>
    <w:sectPr w:rsidR="0073458A" w:rsidSect="0073458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66C" w:rsidRDefault="00B9166C" w:rsidP="0073458A">
      <w:r>
        <w:separator/>
      </w:r>
    </w:p>
  </w:endnote>
  <w:endnote w:type="continuationSeparator" w:id="0">
    <w:p w:rsidR="00B9166C" w:rsidRDefault="00B9166C" w:rsidP="00734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4029438"/>
      <w:docPartObj>
        <w:docPartGallery w:val="Page Numbers (Bottom of Page)"/>
        <w:docPartUnique/>
      </w:docPartObj>
    </w:sdtPr>
    <w:sdtContent>
      <w:p w:rsidR="00D26CE1" w:rsidRDefault="00D26CE1">
        <w:pPr>
          <w:pStyle w:val="a6"/>
          <w:jc w:val="center"/>
        </w:pPr>
        <w:fldSimple w:instr=" PAGE   \* MERGEFORMAT ">
          <w:r w:rsidRPr="00D26CE1">
            <w:rPr>
              <w:noProof/>
              <w:lang w:val="zh-CN"/>
            </w:rPr>
            <w:t>21</w:t>
          </w:r>
        </w:fldSimple>
      </w:p>
    </w:sdtContent>
  </w:sdt>
  <w:p w:rsidR="00D26CE1" w:rsidRDefault="00D26CE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66C" w:rsidRDefault="00B9166C" w:rsidP="0073458A">
      <w:r>
        <w:separator/>
      </w:r>
    </w:p>
  </w:footnote>
  <w:footnote w:type="continuationSeparator" w:id="0">
    <w:p w:rsidR="00B9166C" w:rsidRDefault="00B9166C" w:rsidP="007345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63C09"/>
    <w:rsid w:val="00082E8D"/>
    <w:rsid w:val="000858B8"/>
    <w:rsid w:val="000E37A8"/>
    <w:rsid w:val="000F20FD"/>
    <w:rsid w:val="00106D0B"/>
    <w:rsid w:val="00141E76"/>
    <w:rsid w:val="00194821"/>
    <w:rsid w:val="001A5BC6"/>
    <w:rsid w:val="001B1722"/>
    <w:rsid w:val="001B2621"/>
    <w:rsid w:val="001C5EC1"/>
    <w:rsid w:val="00240F6A"/>
    <w:rsid w:val="00257DAE"/>
    <w:rsid w:val="0027695B"/>
    <w:rsid w:val="002E2D4C"/>
    <w:rsid w:val="00310753"/>
    <w:rsid w:val="0031111D"/>
    <w:rsid w:val="00336EDB"/>
    <w:rsid w:val="00395837"/>
    <w:rsid w:val="003B216E"/>
    <w:rsid w:val="003E3AD2"/>
    <w:rsid w:val="00405006"/>
    <w:rsid w:val="00463C09"/>
    <w:rsid w:val="00486257"/>
    <w:rsid w:val="00486973"/>
    <w:rsid w:val="00495961"/>
    <w:rsid w:val="004A1AD9"/>
    <w:rsid w:val="004A27F0"/>
    <w:rsid w:val="00524E9E"/>
    <w:rsid w:val="00527983"/>
    <w:rsid w:val="00543880"/>
    <w:rsid w:val="005C3ECA"/>
    <w:rsid w:val="005D4273"/>
    <w:rsid w:val="00632127"/>
    <w:rsid w:val="006D6C8B"/>
    <w:rsid w:val="006F7CF8"/>
    <w:rsid w:val="0073458A"/>
    <w:rsid w:val="00761A65"/>
    <w:rsid w:val="00764415"/>
    <w:rsid w:val="007664AB"/>
    <w:rsid w:val="00775B24"/>
    <w:rsid w:val="00795E83"/>
    <w:rsid w:val="007D7DE5"/>
    <w:rsid w:val="00805450"/>
    <w:rsid w:val="00815E73"/>
    <w:rsid w:val="008165FD"/>
    <w:rsid w:val="00834ABE"/>
    <w:rsid w:val="00874004"/>
    <w:rsid w:val="00886E1D"/>
    <w:rsid w:val="008A09DC"/>
    <w:rsid w:val="008B7A30"/>
    <w:rsid w:val="008F50DC"/>
    <w:rsid w:val="00997D57"/>
    <w:rsid w:val="009A5F13"/>
    <w:rsid w:val="00A016CA"/>
    <w:rsid w:val="00A13239"/>
    <w:rsid w:val="00A23AD6"/>
    <w:rsid w:val="00AD6815"/>
    <w:rsid w:val="00AF2170"/>
    <w:rsid w:val="00AF58B2"/>
    <w:rsid w:val="00B17AA0"/>
    <w:rsid w:val="00B445E6"/>
    <w:rsid w:val="00B45F04"/>
    <w:rsid w:val="00B56EB3"/>
    <w:rsid w:val="00B73232"/>
    <w:rsid w:val="00B9166C"/>
    <w:rsid w:val="00B9761C"/>
    <w:rsid w:val="00BD4D7B"/>
    <w:rsid w:val="00C21FFC"/>
    <w:rsid w:val="00C37269"/>
    <w:rsid w:val="00C45A9C"/>
    <w:rsid w:val="00C5771C"/>
    <w:rsid w:val="00C61318"/>
    <w:rsid w:val="00C90C0D"/>
    <w:rsid w:val="00C9651A"/>
    <w:rsid w:val="00CE2F94"/>
    <w:rsid w:val="00D26CE1"/>
    <w:rsid w:val="00D43FB8"/>
    <w:rsid w:val="00D7515E"/>
    <w:rsid w:val="00DB21C3"/>
    <w:rsid w:val="00DE36E0"/>
    <w:rsid w:val="00E27A2C"/>
    <w:rsid w:val="00E4623A"/>
    <w:rsid w:val="00E526DC"/>
    <w:rsid w:val="00EA39B5"/>
    <w:rsid w:val="00EA7C30"/>
    <w:rsid w:val="00EB0A75"/>
    <w:rsid w:val="00EF294C"/>
    <w:rsid w:val="00F154A0"/>
    <w:rsid w:val="00F33532"/>
    <w:rsid w:val="00F34162"/>
    <w:rsid w:val="00F7450C"/>
    <w:rsid w:val="00FA0281"/>
    <w:rsid w:val="06785374"/>
    <w:rsid w:val="1C6500DA"/>
    <w:rsid w:val="1F2953F9"/>
    <w:rsid w:val="21FF1B04"/>
    <w:rsid w:val="233675E8"/>
    <w:rsid w:val="37F30A8A"/>
    <w:rsid w:val="38D6542C"/>
    <w:rsid w:val="3EE475F5"/>
    <w:rsid w:val="3F887785"/>
    <w:rsid w:val="40CF3EBF"/>
    <w:rsid w:val="47B9580E"/>
    <w:rsid w:val="4AD961F8"/>
    <w:rsid w:val="4BBA78B1"/>
    <w:rsid w:val="4CF47C43"/>
    <w:rsid w:val="4D370E5D"/>
    <w:rsid w:val="4FC863DA"/>
    <w:rsid w:val="507D3439"/>
    <w:rsid w:val="524737A2"/>
    <w:rsid w:val="556B391A"/>
    <w:rsid w:val="567B428F"/>
    <w:rsid w:val="579A679A"/>
    <w:rsid w:val="5DDB1A6A"/>
    <w:rsid w:val="67063526"/>
    <w:rsid w:val="6E0473D9"/>
    <w:rsid w:val="6FB06DAF"/>
    <w:rsid w:val="73EF335D"/>
    <w:rsid w:val="74784139"/>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qFormat="1"/>
    <w:lsdException w:name="footer" w:semiHidden="0" w:unhideWhenUsed="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58A"/>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73458A"/>
    <w:rPr>
      <w:b/>
      <w:bCs/>
    </w:rPr>
  </w:style>
  <w:style w:type="paragraph" w:styleId="a4">
    <w:name w:val="annotation text"/>
    <w:basedOn w:val="a"/>
    <w:link w:val="Char0"/>
    <w:uiPriority w:val="99"/>
    <w:unhideWhenUsed/>
    <w:qFormat/>
    <w:rsid w:val="0073458A"/>
    <w:pPr>
      <w:jc w:val="left"/>
    </w:pPr>
  </w:style>
  <w:style w:type="paragraph" w:styleId="a5">
    <w:name w:val="Balloon Text"/>
    <w:basedOn w:val="a"/>
    <w:link w:val="Char1"/>
    <w:uiPriority w:val="99"/>
    <w:semiHidden/>
    <w:unhideWhenUsed/>
    <w:qFormat/>
    <w:rsid w:val="0073458A"/>
    <w:rPr>
      <w:sz w:val="18"/>
      <w:szCs w:val="18"/>
    </w:rPr>
  </w:style>
  <w:style w:type="paragraph" w:styleId="a6">
    <w:name w:val="footer"/>
    <w:basedOn w:val="a"/>
    <w:link w:val="Char2"/>
    <w:uiPriority w:val="99"/>
    <w:qFormat/>
    <w:rsid w:val="0073458A"/>
    <w:pPr>
      <w:tabs>
        <w:tab w:val="center" w:pos="4153"/>
        <w:tab w:val="right" w:pos="8306"/>
      </w:tabs>
      <w:snapToGrid w:val="0"/>
      <w:jc w:val="left"/>
    </w:pPr>
    <w:rPr>
      <w:rFonts w:asciiTheme="minorHAnsi" w:eastAsiaTheme="minorEastAsia" w:hAnsiTheme="minorHAnsi" w:cstheme="minorBidi"/>
      <w:sz w:val="18"/>
      <w:szCs w:val="18"/>
    </w:rPr>
  </w:style>
  <w:style w:type="paragraph" w:styleId="a7">
    <w:name w:val="header"/>
    <w:basedOn w:val="a"/>
    <w:link w:val="Char3"/>
    <w:uiPriority w:val="99"/>
    <w:semiHidden/>
    <w:unhideWhenUsed/>
    <w:qFormat/>
    <w:rsid w:val="0073458A"/>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qFormat/>
    <w:rsid w:val="0073458A"/>
    <w:rPr>
      <w:sz w:val="21"/>
      <w:szCs w:val="21"/>
    </w:rPr>
  </w:style>
  <w:style w:type="table" w:styleId="a9">
    <w:name w:val="Table Grid"/>
    <w:basedOn w:val="a1"/>
    <w:uiPriority w:val="59"/>
    <w:qFormat/>
    <w:rsid w:val="007345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页脚 Char"/>
    <w:link w:val="a6"/>
    <w:uiPriority w:val="99"/>
    <w:qFormat/>
    <w:rsid w:val="0073458A"/>
    <w:rPr>
      <w:sz w:val="18"/>
      <w:szCs w:val="18"/>
    </w:rPr>
  </w:style>
  <w:style w:type="character" w:customStyle="1" w:styleId="Char10">
    <w:name w:val="页脚 Char1"/>
    <w:basedOn w:val="a0"/>
    <w:uiPriority w:val="99"/>
    <w:semiHidden/>
    <w:qFormat/>
    <w:rsid w:val="0073458A"/>
    <w:rPr>
      <w:rFonts w:ascii="Calibri" w:eastAsia="宋体" w:hAnsi="Calibri" w:cs="Times New Roman"/>
      <w:sz w:val="18"/>
      <w:szCs w:val="18"/>
    </w:rPr>
  </w:style>
  <w:style w:type="paragraph" w:customStyle="1" w:styleId="5-">
    <w:name w:val="5-内文"/>
    <w:basedOn w:val="a"/>
    <w:link w:val="5-Char"/>
    <w:uiPriority w:val="99"/>
    <w:qFormat/>
    <w:rsid w:val="0073458A"/>
    <w:pPr>
      <w:spacing w:beforeLines="25" w:afterLines="25" w:line="300" w:lineRule="auto"/>
      <w:ind w:firstLineChars="200" w:firstLine="200"/>
    </w:pPr>
    <w:rPr>
      <w:rFonts w:eastAsia="仿宋_GB2312"/>
      <w:kern w:val="0"/>
      <w:sz w:val="28"/>
      <w:szCs w:val="20"/>
    </w:rPr>
  </w:style>
  <w:style w:type="character" w:customStyle="1" w:styleId="5-Char">
    <w:name w:val="5-内文 Char"/>
    <w:link w:val="5-"/>
    <w:uiPriority w:val="99"/>
    <w:qFormat/>
    <w:locked/>
    <w:rsid w:val="0073458A"/>
    <w:rPr>
      <w:rFonts w:ascii="Calibri" w:eastAsia="仿宋_GB2312" w:hAnsi="Calibri" w:cs="Times New Roman"/>
      <w:kern w:val="0"/>
      <w:sz w:val="28"/>
      <w:szCs w:val="20"/>
    </w:rPr>
  </w:style>
  <w:style w:type="character" w:customStyle="1" w:styleId="Char3">
    <w:name w:val="页眉 Char"/>
    <w:basedOn w:val="a0"/>
    <w:link w:val="a7"/>
    <w:uiPriority w:val="99"/>
    <w:semiHidden/>
    <w:qFormat/>
    <w:rsid w:val="0073458A"/>
    <w:rPr>
      <w:rFonts w:ascii="Calibri" w:hAnsi="Calibri"/>
      <w:kern w:val="2"/>
      <w:sz w:val="18"/>
      <w:szCs w:val="18"/>
    </w:rPr>
  </w:style>
  <w:style w:type="character" w:customStyle="1" w:styleId="Char0">
    <w:name w:val="批注文字 Char"/>
    <w:basedOn w:val="a0"/>
    <w:link w:val="a4"/>
    <w:uiPriority w:val="99"/>
    <w:semiHidden/>
    <w:qFormat/>
    <w:rsid w:val="0073458A"/>
    <w:rPr>
      <w:rFonts w:ascii="Calibri" w:hAnsi="Calibri"/>
      <w:kern w:val="2"/>
      <w:sz w:val="21"/>
      <w:szCs w:val="24"/>
    </w:rPr>
  </w:style>
  <w:style w:type="character" w:customStyle="1" w:styleId="Char">
    <w:name w:val="批注主题 Char"/>
    <w:basedOn w:val="Char0"/>
    <w:link w:val="a3"/>
    <w:uiPriority w:val="99"/>
    <w:semiHidden/>
    <w:qFormat/>
    <w:rsid w:val="0073458A"/>
    <w:rPr>
      <w:rFonts w:ascii="Calibri" w:hAnsi="Calibri"/>
      <w:b/>
      <w:bCs/>
      <w:kern w:val="2"/>
      <w:sz w:val="21"/>
      <w:szCs w:val="24"/>
    </w:rPr>
  </w:style>
  <w:style w:type="character" w:customStyle="1" w:styleId="Char1">
    <w:name w:val="批注框文本 Char"/>
    <w:basedOn w:val="a0"/>
    <w:link w:val="a5"/>
    <w:uiPriority w:val="99"/>
    <w:semiHidden/>
    <w:qFormat/>
    <w:rsid w:val="0073458A"/>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21</Pages>
  <Words>1600</Words>
  <Characters>9122</Characters>
  <Application>Microsoft Office Word</Application>
  <DocSecurity>0</DocSecurity>
  <Lines>76</Lines>
  <Paragraphs>21</Paragraphs>
  <ScaleCrop>false</ScaleCrop>
  <Company>微软中国</Company>
  <LinksUpToDate>false</LinksUpToDate>
  <CharactersWithSpaces>10701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bg1</cp:lastModifiedBy>
  <cp:revision>9</cp:revision>
  <dcterms:created xsi:type="dcterms:W3CDTF">2019-03-17T14:41:00Z</dcterms:created>
  <dcterms:modified xsi:type="dcterms:W3CDTF">2019-08-18T12:49:00Z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