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ascii="黑体" w:hAnsi="黑体" w:eastAsia="黑体"/>
          <w:b/>
          <w:sz w:val="36"/>
          <w:szCs w:val="44"/>
        </w:rPr>
        <w:t>201</w:t>
      </w:r>
      <w:r>
        <w:rPr>
          <w:rFonts w:hint="eastAsia" w:ascii="黑体" w:hAnsi="黑体" w:eastAsia="黑体"/>
          <w:b/>
          <w:sz w:val="36"/>
          <w:szCs w:val="44"/>
        </w:rPr>
        <w:t>8</w:t>
      </w:r>
      <w:r>
        <w:rPr>
          <w:rFonts w:hint="eastAsia" w:ascii="黑体" w:hAnsi="黑体" w:eastAsia="黑体" w:cs="宋体"/>
          <w:b/>
          <w:sz w:val="36"/>
          <w:szCs w:val="44"/>
        </w:rPr>
        <w:t>年沈阳职业院校技能大赛</w:t>
      </w:r>
    </w:p>
    <w:p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</w:rPr>
        <w:t>业余组“</w:t>
      </w:r>
      <w:r>
        <w:rPr>
          <w:rFonts w:hint="eastAsia" w:ascii="黑体" w:hAnsi="仿宋_GB2312" w:eastAsia="黑体" w:cs="仿宋_GB2312"/>
          <w:b/>
          <w:sz w:val="36"/>
          <w:szCs w:val="36"/>
        </w:rPr>
        <w:t>弹拨乐器演奏</w:t>
      </w:r>
      <w:r>
        <w:rPr>
          <w:rFonts w:hint="eastAsia" w:ascii="黑体" w:hAnsi="黑体" w:eastAsia="黑体" w:cs="宋体"/>
          <w:b/>
          <w:sz w:val="36"/>
          <w:szCs w:val="44"/>
        </w:rPr>
        <w:t>”赛项规程</w:t>
      </w:r>
    </w:p>
    <w:p>
      <w:pPr>
        <w:pStyle w:val="2"/>
        <w:keepNext w:val="0"/>
        <w:keepLines w:val="0"/>
        <w:adjustRightInd w:val="0"/>
        <w:snapToGrid w:val="0"/>
        <w:spacing w:before="0" w:after="0" w:line="540" w:lineRule="exact"/>
        <w:ind w:firstLine="562" w:firstLineChars="200"/>
        <w:jc w:val="left"/>
        <w:rPr>
          <w:rFonts w:ascii="仿宋_GB2312" w:hAnsi="黑体" w:eastAsia="仿宋_GB2312" w:cs="宋体"/>
          <w:bCs w:val="0"/>
          <w:kern w:val="0"/>
          <w:sz w:val="28"/>
          <w:szCs w:val="28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一、赛项名称</w:t>
      </w:r>
    </w:p>
    <w:p>
      <w:pPr>
        <w:spacing w:line="480" w:lineRule="exact"/>
        <w:ind w:firstLine="57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赛项编号：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ZZ-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11</w:t>
      </w:r>
    </w:p>
    <w:p>
      <w:pPr>
        <w:spacing w:line="480" w:lineRule="exact"/>
        <w:ind w:firstLine="57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赛项名称：沈阳市</w:t>
      </w:r>
      <w:r>
        <w:rPr>
          <w:rFonts w:hint="eastAsia" w:ascii="仿宋_GB2312" w:hAnsi="仿宋" w:eastAsia="仿宋_GB2312"/>
          <w:sz w:val="28"/>
          <w:szCs w:val="28"/>
        </w:rPr>
        <w:t>艺术专业技能大赛（</w:t>
      </w:r>
      <w:r>
        <w:rPr>
          <w:rFonts w:hint="eastAsia" w:ascii="仿宋_GB2312" w:hAnsi="仿宋_GB2312" w:eastAsia="仿宋_GB2312" w:cs="仿宋_GB2312"/>
          <w:sz w:val="28"/>
          <w:szCs w:val="28"/>
        </w:rPr>
        <w:t>弹拨乐器演奏</w:t>
      </w:r>
      <w:r>
        <w:rPr>
          <w:rFonts w:hint="eastAsia" w:ascii="仿宋_GB2312" w:hAnsi="仿宋" w:eastAsia="仿宋_GB2312"/>
          <w:sz w:val="28"/>
          <w:szCs w:val="28"/>
        </w:rPr>
        <w:t>）</w:t>
      </w:r>
    </w:p>
    <w:p>
      <w:pPr>
        <w:spacing w:line="480" w:lineRule="exact"/>
        <w:ind w:firstLine="57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赛项组别：业余组</w:t>
      </w:r>
    </w:p>
    <w:p>
      <w:pPr>
        <w:spacing w:line="480" w:lineRule="exact"/>
        <w:ind w:firstLine="57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赛项归属产业：文化艺术</w:t>
      </w: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二、竞赛目的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过比赛，全面考察、展示和提升中国业余弹拨乐器演奏选手的基本技能、曲目演奏、知识应用等综合能力和素养。引领推进业余弹拨乐器演奏专业教育教学改革和发展，为选拔和推出优秀业余弹拨乐器表演人才提供广阔平台。</w:t>
      </w:r>
    </w:p>
    <w:p/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三、竞赛内容与时间</w:t>
      </w:r>
    </w:p>
    <w:p/>
    <w:p>
      <w:pPr>
        <w:spacing w:line="480" w:lineRule="exact"/>
        <w:ind w:left="1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本赛项竞赛内容包括为乐曲演奏、简谱视唱、模唱。演奏形式为独奏。</w:t>
      </w:r>
      <w:r>
        <w:rPr>
          <w:rFonts w:hint="eastAsia" w:ascii="仿宋_GB2312" w:hAnsi="仿宋" w:eastAsia="仿宋_GB2312"/>
          <w:sz w:val="28"/>
          <w:szCs w:val="28"/>
        </w:rPr>
        <w:t>竞赛分为两轮进行。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第一轮比赛（全体选手参加）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乐曲演奏（分值权重70%）</w:t>
      </w:r>
    </w:p>
    <w:p>
      <w:pPr>
        <w:adjustRightInd w:val="0"/>
        <w:snapToGrid w:val="0"/>
        <w:spacing w:line="480" w:lineRule="exact"/>
        <w:ind w:left="1"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选手自选乐曲一首，现场演奏，时间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5分钟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以内。重点考察选手的演奏技能、音乐表现和舞台实践能力。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乐曲曲目要求：选手任选一首中国传统乐曲或现代乐曲。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第二轮比赛（</w:t>
      </w:r>
      <w:r>
        <w:rPr>
          <w:rFonts w:ascii="仿宋_GB2312" w:hAnsi="仿宋_GB2312" w:eastAsia="仿宋_GB2312" w:cs="仿宋_GB2312"/>
          <w:sz w:val="28"/>
          <w:szCs w:val="28"/>
        </w:rPr>
        <w:t>60%</w:t>
      </w:r>
      <w:r>
        <w:rPr>
          <w:rFonts w:hint="eastAsia" w:ascii="仿宋_GB2312" w:hAnsi="仿宋_GB2312" w:eastAsia="仿宋_GB2312" w:cs="仿宋_GB2312"/>
          <w:sz w:val="28"/>
          <w:szCs w:val="28"/>
        </w:rPr>
        <w:t>选手参加）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pacing w:val="-7"/>
          <w:sz w:val="28"/>
          <w:szCs w:val="28"/>
          <w:shd w:val="clear" w:color="auto" w:fill="FFFFFF"/>
        </w:rPr>
        <w:t>视唱（分值权重20%）</w:t>
      </w:r>
    </w:p>
    <w:p>
      <w:pPr>
        <w:adjustRightInd w:val="0"/>
        <w:snapToGrid w:val="0"/>
        <w:spacing w:line="480" w:lineRule="exact"/>
        <w:ind w:left="1" w:firstLine="560" w:firstLineChars="200"/>
        <w:jc w:val="left"/>
        <w:rPr>
          <w:rFonts w:ascii="仿宋" w:hAnsi="仿宋" w:eastAsia="仿宋" w:cs="仿宋"/>
          <w:color w:val="000000"/>
          <w:spacing w:val="-9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选手</w:t>
      </w:r>
      <w:r>
        <w:rPr>
          <w:rFonts w:hint="eastAsia" w:ascii="仿宋" w:hAnsi="仿宋" w:eastAsia="仿宋" w:cs="仿宋"/>
          <w:color w:val="000000"/>
          <w:spacing w:val="-11"/>
          <w:sz w:val="28"/>
          <w:szCs w:val="28"/>
          <w:shd w:val="clear" w:color="auto" w:fill="FFFFFF"/>
        </w:rPr>
        <w:t>现场抽取视唱题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1题，准备30秒，</w:t>
      </w:r>
      <w:r>
        <w:rPr>
          <w:rFonts w:hint="eastAsia" w:ascii="仿宋" w:hAnsi="仿宋" w:eastAsia="仿宋" w:cs="仿宋"/>
          <w:color w:val="000000"/>
          <w:spacing w:val="-5"/>
          <w:sz w:val="28"/>
          <w:szCs w:val="28"/>
          <w:shd w:val="clear" w:color="auto" w:fill="FFFFFF"/>
        </w:rPr>
        <w:t>由钢琴老师现场给标准音后，即选手完整的演唱视唱题，</w:t>
      </w:r>
      <w:r>
        <w:rPr>
          <w:rFonts w:hint="eastAsia" w:ascii="仿宋" w:hAnsi="仿宋" w:eastAsia="仿宋" w:cs="仿宋"/>
          <w:color w:val="000000"/>
          <w:spacing w:val="-9"/>
          <w:sz w:val="28"/>
          <w:szCs w:val="28"/>
          <w:shd w:val="clear" w:color="auto" w:fill="FFFFFF"/>
        </w:rPr>
        <w:t>重点考察选手对音高、节奏、旋律的感知能力。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pacing w:val="-10"/>
          <w:sz w:val="28"/>
          <w:szCs w:val="28"/>
          <w:shd w:val="clear" w:color="auto" w:fill="FFFFFF"/>
        </w:rPr>
        <w:t xml:space="preserve"> 模唱（分值权重10%）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选手</w:t>
      </w:r>
      <w:r>
        <w:rPr>
          <w:rFonts w:hint="eastAsia" w:ascii="仿宋" w:hAnsi="仿宋" w:eastAsia="仿宋" w:cs="仿宋"/>
          <w:color w:val="000000"/>
          <w:spacing w:val="-10"/>
          <w:sz w:val="28"/>
          <w:szCs w:val="28"/>
          <w:shd w:val="clear" w:color="auto" w:fill="FFFFFF"/>
        </w:rPr>
        <w:t>现场抽取模唱题</w:t>
      </w:r>
      <w:r>
        <w:rPr>
          <w:rFonts w:hint="eastAsia" w:ascii="仿宋" w:hAnsi="仿宋" w:eastAsia="仿宋" w:cs="仿宋"/>
          <w:color w:val="000000"/>
          <w:spacing w:val="-28"/>
          <w:sz w:val="28"/>
          <w:szCs w:val="28"/>
          <w:shd w:val="clear" w:color="auto" w:fill="FFFFFF"/>
        </w:rPr>
        <w:t>，由钢琴老师弹奏三遍，然后</w:t>
      </w:r>
      <w:r>
        <w:rPr>
          <w:rFonts w:hint="eastAsia" w:ascii="仿宋" w:hAnsi="仿宋" w:eastAsia="仿宋" w:cs="仿宋"/>
          <w:color w:val="000000"/>
          <w:spacing w:val="-9"/>
          <w:sz w:val="28"/>
          <w:szCs w:val="28"/>
          <w:shd w:val="clear" w:color="auto" w:fill="FFFFFF"/>
        </w:rPr>
        <w:t>选手进行模唱，重点考察选手的音高和音准的概念。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竞赛时间安排</w:t>
      </w:r>
    </w:p>
    <w:tbl>
      <w:tblPr>
        <w:tblStyle w:val="10"/>
        <w:tblW w:w="90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3199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</w:rPr>
              <w:t>时间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480" w:lineRule="exact"/>
              <w:ind w:firstLine="420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地点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spacing w:line="480" w:lineRule="exact"/>
              <w:ind w:firstLine="420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60" w:type="dxa"/>
          </w:tcPr>
          <w:p>
            <w:pPr>
              <w:spacing w:line="480" w:lineRule="exact"/>
              <w:rPr>
                <w:rFonts w:hint="eastAsia" w:ascii="仿宋_GB2312" w:hAnsi="宋体" w:eastAsia="仿宋_GB2312" w:cs="Arial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lang w:val="en-US" w:eastAsia="zh-CN"/>
              </w:rPr>
              <w:t>2018年10月23日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</w:rPr>
            </w:pPr>
          </w:p>
        </w:tc>
        <w:tc>
          <w:tcPr>
            <w:tcW w:w="3199" w:type="dxa"/>
          </w:tcPr>
          <w:p>
            <w:pPr>
              <w:snapToGrid w:val="0"/>
              <w:spacing w:line="48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沈阳市旅游学校</w:t>
            </w:r>
          </w:p>
        </w:tc>
        <w:tc>
          <w:tcPr>
            <w:tcW w:w="2880" w:type="dxa"/>
          </w:tcPr>
          <w:p>
            <w:pPr>
              <w:snapToGrid w:val="0"/>
              <w:spacing w:line="48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弹拨演奏及专业能力考查</w:t>
            </w:r>
          </w:p>
        </w:tc>
      </w:tr>
    </w:tbl>
    <w:p>
      <w:pPr>
        <w:snapToGrid w:val="0"/>
        <w:spacing w:line="480" w:lineRule="exact"/>
        <w:ind w:firstLine="551" w:firstLineChars="196"/>
        <w:rPr>
          <w:rFonts w:hint="eastAsia" w:cs="宋体"/>
          <w:b/>
          <w:bCs/>
          <w:kern w:val="0"/>
          <w:sz w:val="28"/>
          <w:szCs w:val="28"/>
        </w:rPr>
      </w:pPr>
    </w:p>
    <w:p>
      <w:pPr>
        <w:snapToGrid w:val="0"/>
        <w:spacing w:line="480" w:lineRule="exact"/>
        <w:ind w:firstLine="551" w:firstLineChars="196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四、竞赛方式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本赛项为个人赛项，以学校为单位报名参赛。每校配领队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人，每个项目每校限报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名选手，每人只能报一个项目，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不得兼报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。每名参赛选手指定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名指导教师。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比赛分两轮进行。全体选手参加第一轮比赛。比赛结束，按得分顺序，由高到低取选手总数的</w:t>
      </w:r>
      <w:r>
        <w:rPr>
          <w:rFonts w:ascii="仿宋_GB2312" w:hAnsi="仿宋_GB2312" w:eastAsia="仿宋_GB2312" w:cs="仿宋_GB2312"/>
          <w:sz w:val="28"/>
          <w:szCs w:val="28"/>
        </w:rPr>
        <w:t>60%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进入第二轮比赛。第二轮比赛结束，按总分高低决定选手获奖等次。</w:t>
      </w:r>
    </w:p>
    <w:p>
      <w:pPr>
        <w:snapToGrid w:val="0"/>
        <w:spacing w:line="480" w:lineRule="exact"/>
        <w:ind w:firstLine="551" w:firstLineChars="196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五、竞赛流程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报到抽签。各代表队于指定时间到指定地点报到，进行参赛时间、顺序和分组的抽签；大赛办召开领队会议通报比赛有关情况及要求。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参赛准备。参赛选手按大赛办统一安排，在指定时间到指定琴房进行赛前练习，到比赛剧场或音乐厅舞台走台。</w:t>
      </w:r>
    </w:p>
    <w:p>
      <w:pPr>
        <w:spacing w:line="480" w:lineRule="exact"/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正式比赛。参赛选手按抽签时间、顺序及规定流程到赛场检录、候赛、参赛。进入第二轮比赛的选手仍沿用第一轮抽签顺序，按规定流程参加比赛。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决赛流程具体时间安排，待参加决赛人数确定后公布。</w:t>
      </w:r>
    </w:p>
    <w:p>
      <w:pPr>
        <w:snapToGrid w:val="0"/>
        <w:spacing w:line="480" w:lineRule="exact"/>
        <w:ind w:firstLine="551" w:firstLineChars="196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六、竞赛试题</w:t>
      </w:r>
    </w:p>
    <w:p>
      <w:pPr>
        <w:spacing w:line="480" w:lineRule="exact"/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弹拨乐器演奏第二轮样题将于</w:t>
      </w:r>
      <w:r>
        <w:rPr>
          <w:rFonts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</w:rPr>
        <w:t>8年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月通过沈阳职业技能大赛网公布。</w:t>
      </w:r>
    </w:p>
    <w:p>
      <w:pPr>
        <w:snapToGrid w:val="0"/>
        <w:spacing w:line="480" w:lineRule="exact"/>
        <w:ind w:firstLine="551" w:firstLineChars="196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七、竞赛规则</w:t>
      </w:r>
    </w:p>
    <w:p>
      <w:pPr>
        <w:spacing w:line="560" w:lineRule="atLeas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所有参赛选手均须为全日制正式学籍中等职业学校在校学生。五年制高职一至三年级（含三年级）学生可报名参加中职组比赛。中职组</w:t>
      </w:r>
      <w:r>
        <w:rPr>
          <w:rFonts w:hint="eastAsia" w:ascii="仿宋_GB2312" w:eastAsia="仿宋_GB2312"/>
          <w:sz w:val="28"/>
          <w:szCs w:val="28"/>
        </w:rPr>
        <w:t>年龄须不超过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hint="eastAsia" w:ascii="仿宋_GB2312" w:eastAsia="仿宋_GB2312"/>
          <w:sz w:val="28"/>
          <w:szCs w:val="28"/>
        </w:rPr>
        <w:t>周岁（年龄计算截止时间为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</w:rPr>
        <w:t>8年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日）。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(</w:t>
      </w:r>
      <w:r>
        <w:rPr>
          <w:rFonts w:hint="eastAsia" w:ascii="仿宋_GB2312" w:hAnsi="宋体" w:eastAsia="仿宋_GB2312"/>
          <w:sz w:val="28"/>
          <w:szCs w:val="28"/>
        </w:rPr>
        <w:t>二）参赛选手在报名获得审核确认后，原则上不得更换。如在准备过程中因特殊情况确需更换选手，须由所在学校主管部门出具书面说明，按相关规定更换选手并接受审核。比赛开始后，一律不得更换参赛选手，允许选手缺席比赛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（三）参赛选手具体比赛时间、顺序由抽签决定。选手须持本人身份证、学生证及统一签发的参赛证参加比赛；须提前在规定时间内到达赛区现场检录；迟到超过</w:t>
      </w:r>
      <w:r>
        <w:rPr>
          <w:rFonts w:ascii="仿宋_GB2312" w:hAnsi="宋体" w:eastAsia="仿宋_GB2312"/>
          <w:sz w:val="28"/>
          <w:szCs w:val="28"/>
        </w:rPr>
        <w:t>15</w:t>
      </w:r>
      <w:r>
        <w:rPr>
          <w:rFonts w:hint="eastAsia" w:ascii="仿宋_GB2312" w:hAnsi="宋体" w:eastAsia="仿宋_GB2312"/>
          <w:sz w:val="28"/>
          <w:szCs w:val="28"/>
        </w:rPr>
        <w:t>分钟的选手，视作弃权，不得入场比赛。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乐器由选手自行准备或由承办方提供。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乐曲演奏须背谱演奏，可以自带伴奏，伴奏限1人。伴奏乐器钢琴统一提供，其它乐器自备。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 xml:space="preserve">. </w:t>
      </w:r>
      <w:r>
        <w:rPr>
          <w:rFonts w:hint="eastAsia" w:ascii="仿宋_GB2312" w:hAnsi="仿宋_GB2312" w:eastAsia="仿宋_GB2312" w:cs="仿宋_GB2312"/>
          <w:sz w:val="28"/>
          <w:szCs w:val="28"/>
        </w:rPr>
        <w:t>视唱题为简谱题，在规定时间内看完谱，由钢琴老师给标准音后，选手须连续1遍完成，如中途出错停下不得反复，只能继续往下唱。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4.模唱由钢琴老师连续弹奏三遍，即由选手一遍唱完。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比赛、练习等所有场地及相关设备器材由大赛办统一安排</w:t>
      </w:r>
    </w:p>
    <w:p>
      <w:pPr>
        <w:adjustRightInd w:val="0"/>
        <w:snapToGrid w:val="0"/>
        <w:spacing w:line="560" w:lineRule="atLeast"/>
        <w:ind w:firstLine="280" w:firstLineChars="1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（四）所有比赛项目均须在规定时间内完成，超时、缺项将扣分。</w:t>
      </w:r>
    </w:p>
    <w:p>
      <w:pPr>
        <w:spacing w:line="480" w:lineRule="exact"/>
        <w:ind w:firstLine="413" w:firstLineChars="147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>八、竞赛环境</w:t>
      </w:r>
    </w:p>
    <w:p>
      <w:pPr>
        <w:spacing w:line="480" w:lineRule="exact"/>
        <w:ind w:firstLine="57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弹拨乐器演奏第一轮和第二轮专比赛均在音乐厅举行。</w:t>
      </w:r>
    </w:p>
    <w:p>
      <w:pPr>
        <w:pStyle w:val="3"/>
        <w:spacing w:line="560" w:lineRule="atLeas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比赛场地均配有相应的设施设备，</w:t>
      </w:r>
      <w:r>
        <w:rPr>
          <w:rFonts w:hint="eastAsia" w:ascii="仿宋_GB2312" w:eastAsia="仿宋_GB2312"/>
          <w:sz w:val="28"/>
          <w:szCs w:val="28"/>
        </w:rPr>
        <w:t>采光、照明、通风和控温良好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赛场有保安、消防、设备维修和电力抢险等人员待命，并设置安全应急通道，以防突发事件。赛场配备医疗、生活补给等服务站点，为选手和工作人员提供服务。</w:t>
      </w:r>
    </w:p>
    <w:p>
      <w:pPr>
        <w:pStyle w:val="3"/>
        <w:spacing w:line="560" w:lineRule="atLeas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比赛场地划分为检录区、比赛操作区、评委区、观摩区、设备区、休息区、观摩通道等区域，区域之间有明显标志或警示带。</w:t>
      </w: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九、技术规范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（一）演奏曲目在赛前按大赛办指定时间上传至指定邮箱。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（二）比赛时选手要着专业舞台演出服装或礼服。</w:t>
      </w:r>
      <w:r>
        <w:rPr>
          <w:rFonts w:ascii="宋体" w:hAnsi="宋体" w:eastAsia="仿宋_GB2312" w:cs="宋体"/>
          <w:kern w:val="0"/>
          <w:sz w:val="28"/>
          <w:szCs w:val="28"/>
        </w:rPr>
        <w:t>    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（三）比赛用舞台装置、灯光和音响设备由大赛办统一提供。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（四）剧目灯光为基本光，可变色，有定点，有追光。</w:t>
      </w:r>
    </w:p>
    <w:p>
      <w:pPr>
        <w:spacing w:line="480" w:lineRule="exact"/>
        <w:ind w:firstLine="700" w:firstLineChars="250"/>
        <w:rPr>
          <w:rFonts w:ascii="仿宋_GB2312" w:hAnsi="仿宋" w:eastAsia="仿宋_GB2312"/>
          <w:sz w:val="28"/>
          <w:szCs w:val="28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十、技术平台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具有反音板、吸音装置的音乐厅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个。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配备常规舞台灯光系统；钢琴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架。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音乐琴房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间。均配备钢琴、谱架等设备，供选手赛前练琴使用。</w:t>
      </w: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57" w:firstLineChars="198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十一、成绩评定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（一）评分标准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弹拨乐器演奏依据选手的专业素质、技术技巧、对作品的艺术表现能力和水平、以及作品的难度等因素，确定标准，综合评分。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专业拓展能力（视唱、模唱）考察，</w:t>
      </w:r>
      <w:r>
        <w:rPr>
          <w:rFonts w:hint="eastAsia" w:ascii="仿宋_GB2312" w:hAnsi="仿宋_GB2312" w:eastAsia="仿宋_GB2312" w:cs="仿宋_GB2312"/>
          <w:sz w:val="28"/>
          <w:szCs w:val="28"/>
        </w:rPr>
        <w:t>依据选手音准、节奏的质量的准确率，确定标准，综合评分。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Arial" w:eastAsia="仿宋_GB2312" w:cs="Arial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第一轮比赛分值权重为70</w:t>
      </w:r>
      <w:r>
        <w:rPr>
          <w:rFonts w:hint="eastAsia" w:ascii="仿宋_GB2312" w:hAnsi="Arial" w:eastAsia="仿宋_GB2312" w:cs="Arial"/>
          <w:sz w:val="28"/>
          <w:szCs w:val="28"/>
        </w:rPr>
        <w:t>％，第二轮比赛分值权重为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Arial" w:eastAsia="仿宋_GB2312" w:cs="Arial"/>
          <w:sz w:val="28"/>
          <w:szCs w:val="28"/>
        </w:rPr>
        <w:t>％。</w:t>
      </w:r>
    </w:p>
    <w:p>
      <w:pPr>
        <w:spacing w:line="560" w:lineRule="atLeast"/>
        <w:ind w:left="1" w:firstLine="560" w:firstLineChars="200"/>
        <w:jc w:val="left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（二）评分方法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比赛评分遵循科学合理、切实严谨、公平公正的原则，既全面衡量，又突出重点；既重视基础水平和质量，又重视综合表现、应用；专业性与职业性相结合。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评分采取由评审委员会当场集体评分的方法。每位评委独立评分；由专门人员在统一时间收取评分表；计算得出其它分数的平均分，即为选手的比赛得分。</w:t>
      </w:r>
    </w:p>
    <w:p>
      <w:pPr>
        <w:spacing w:line="480" w:lineRule="exact"/>
        <w:ind w:firstLine="560" w:firstLineChars="200"/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分数采用百分制。每项比赛内容满分均为</w:t>
      </w:r>
      <w:r>
        <w:rPr>
          <w:rFonts w:ascii="仿宋_GB2312" w:hAnsi="宋体" w:eastAsia="仿宋_GB2312"/>
          <w:sz w:val="28"/>
          <w:szCs w:val="28"/>
        </w:rPr>
        <w:t>100</w:t>
      </w:r>
      <w:r>
        <w:rPr>
          <w:rFonts w:hint="eastAsia" w:ascii="仿宋_GB2312" w:hAnsi="宋体" w:eastAsia="仿宋_GB2312"/>
          <w:sz w:val="28"/>
          <w:szCs w:val="28"/>
        </w:rPr>
        <w:t>分。参赛选手的最后总得分，由每项比赛得分计算后相加而成。</w:t>
      </w:r>
    </w:p>
    <w:p/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422" w:firstLineChars="15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十二、奖项设定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参赛选手个人奖，设一、二、三等奖。以相应分赛项参赛选手总数为基数，一等奖占比</w:t>
      </w:r>
      <w:r>
        <w:rPr>
          <w:rFonts w:ascii="仿宋_GB2312" w:hAnsi="仿宋_GB2312" w:eastAsia="仿宋_GB2312" w:cs="仿宋_GB2312"/>
          <w:sz w:val="28"/>
          <w:szCs w:val="28"/>
        </w:rPr>
        <w:t>10%</w:t>
      </w:r>
      <w:r>
        <w:rPr>
          <w:rFonts w:hint="eastAsia" w:ascii="仿宋_GB2312" w:hAnsi="仿宋_GB2312" w:eastAsia="仿宋_GB2312" w:cs="仿宋_GB2312"/>
          <w:sz w:val="28"/>
          <w:szCs w:val="28"/>
        </w:rPr>
        <w:t>，二等奖占比</w:t>
      </w:r>
      <w:r>
        <w:rPr>
          <w:rFonts w:ascii="仿宋_GB2312" w:hAnsi="仿宋_GB2312" w:eastAsia="仿宋_GB2312" w:cs="仿宋_GB2312"/>
          <w:sz w:val="28"/>
          <w:szCs w:val="28"/>
        </w:rPr>
        <w:t>20%</w:t>
      </w:r>
      <w:r>
        <w:rPr>
          <w:rFonts w:hint="eastAsia" w:ascii="仿宋_GB2312" w:hAnsi="仿宋_GB2312" w:eastAsia="仿宋_GB2312" w:cs="仿宋_GB2312"/>
          <w:sz w:val="28"/>
          <w:szCs w:val="28"/>
        </w:rPr>
        <w:t>，三等奖占比</w:t>
      </w:r>
      <w:r>
        <w:rPr>
          <w:rFonts w:ascii="仿宋_GB2312" w:hAnsi="仿宋_GB2312" w:eastAsia="仿宋_GB2312" w:cs="仿宋_GB2312"/>
          <w:sz w:val="28"/>
          <w:szCs w:val="28"/>
        </w:rPr>
        <w:t>30%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2"/>
        <w:keepNext w:val="0"/>
        <w:keepLines w:val="0"/>
        <w:adjustRightInd w:val="0"/>
        <w:snapToGrid w:val="0"/>
        <w:spacing w:before="0" w:after="0" w:line="480" w:lineRule="exact"/>
        <w:ind w:firstLine="562" w:firstLineChars="200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十三、赛项安全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赛事安全是技能竞赛一切工作顺利开展的先决条件，是赛事筹备和运行工作必须考虑的核心问题。大赛办采取切实有效措施保证大赛期间参赛选手、指导教师、裁判员、工作人员及观众的人身安全。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（一）比赛环境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大赛办须在赛前组织专人对比赛现场、住宿场所和交通保障进行考察，并对安全工作提出明确要求。赛场的布置，赛场内的器材、设备，应符合国家有关安全规定。如有必要，也可进行赛场仿真模拟测试，以发现可能出现的问题。承办单位赛前须按照大赛办要求排除安全隐患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赛场周围要设立警戒线，要求所有参赛人员必须凭大赛办印发的有效证件进入场地，防止无关人员进入发生意外事件。比赛现场内应参照相关职业岗位的要求为选手提供必要的劳动保护。在具有危险性的操作环节，裁判员要严防选手出现错误操作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承办单位应提供保证应急预案实施的条件。对于比赛内容涉及高空作业、可能有坠物、大用电量、易发生火灾等情况的赛项，必须明确制度和预案，并配备急救人员与设施。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严格控制与参赛无关的易燃易爆以及各类危险品进入比赛场地，不许随便携带书包进入赛场。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>配备先进的仪器，防止有人利用电磁波干扰比赛秩序。大赛现场需对赛场进行网络安全控制，以免场内外信息交互，充分体现大赛的严肃、公平和公正性。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6.</w:t>
      </w:r>
      <w:r>
        <w:rPr>
          <w:rFonts w:hint="eastAsia" w:ascii="仿宋_GB2312" w:hAnsi="宋体" w:eastAsia="仿宋_GB2312"/>
          <w:sz w:val="28"/>
          <w:szCs w:val="28"/>
        </w:rPr>
        <w:t>大赛办须会同承办单位制定开放赛场和体验区的人员疏导方案。赛场环境中存在人员密集、车流人流交错的区域，除了设置齐全的指示标志外，须增加引导人员，并开辟备用通道。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7.</w:t>
      </w:r>
      <w:r>
        <w:rPr>
          <w:rFonts w:hint="eastAsia" w:ascii="仿宋_GB2312" w:hAnsi="宋体" w:eastAsia="仿宋_GB2312"/>
          <w:sz w:val="28"/>
          <w:szCs w:val="28"/>
        </w:rPr>
        <w:t>大赛期间，承办单位须在赛场管理的关键岗位，增加力量，建立安全管理日志。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（二）生活条件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比赛期间，原则上由大赛办统一安排参赛选手和指导教师食宿。承办单位须尊重少数民族的信仰及文化，根据国家相关的民族政策，安排好少数民族选手和教师的饮食起居。</w:t>
      </w:r>
    </w:p>
    <w:p>
      <w:pPr>
        <w:spacing w:line="560" w:lineRule="atLeast"/>
        <w:ind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比赛期间安排的住宿地应具有宾馆</w:t>
      </w:r>
      <w:r>
        <w:rPr>
          <w:rFonts w:ascii="仿宋_GB2312" w:hAnsi="宋体" w:eastAsia="仿宋_GB2312"/>
          <w:sz w:val="28"/>
          <w:szCs w:val="28"/>
        </w:rPr>
        <w:t>/</w:t>
      </w:r>
      <w:r>
        <w:rPr>
          <w:rFonts w:hint="eastAsia" w:ascii="仿宋_GB2312" w:hAnsi="宋体" w:eastAsia="仿宋_GB2312"/>
          <w:sz w:val="28"/>
          <w:szCs w:val="28"/>
        </w:rPr>
        <w:t>住宿经营许可资质。以学校宿舍作为住宿地的，大赛期间的住宿、卫生、饮食安全等由大赛办和提供宿舍的学校共同负责。</w:t>
      </w:r>
    </w:p>
    <w:p>
      <w:pPr>
        <w:spacing w:line="560" w:lineRule="atLeast"/>
        <w:ind w:firstLine="708" w:firstLineChars="253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大赛期间有组织的参观和观摩活动的交通安全由大赛办负责。大赛办和承办单位须保证比赛期间选手、指导教师和裁判员、工作人员的交通安全。</w:t>
      </w:r>
    </w:p>
    <w:p>
      <w:pPr>
        <w:spacing w:line="560" w:lineRule="atLeast"/>
        <w:ind w:firstLine="708" w:firstLineChars="253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各赛项的安全管理，除了可以采取必要的安全隔离措施外，应严格遵守国家相关法律法规，保护个人隐私和人身自由。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（三）组队责任</w:t>
      </w:r>
    </w:p>
    <w:p>
      <w:pPr>
        <w:spacing w:line="560" w:lineRule="atLeast"/>
        <w:ind w:firstLine="708" w:firstLineChars="253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各学校组织代表队时，须安排为参赛选手购买大赛期间的人身意外伤害保险。</w:t>
      </w:r>
    </w:p>
    <w:p>
      <w:pPr>
        <w:spacing w:line="560" w:lineRule="atLeast"/>
        <w:ind w:firstLine="708" w:firstLineChars="253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各学校代表队组成后，须制定相关管理制度，并对所有选手、指导教师进行安全教育。</w:t>
      </w:r>
    </w:p>
    <w:p>
      <w:pPr>
        <w:spacing w:line="560" w:lineRule="atLeast"/>
        <w:ind w:firstLine="708" w:firstLineChars="253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各参赛队伍须加强对参与比赛人员的安全管理，实现与赛场安全管理的对接。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（四）应急处理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比赛期间发生意外事故，发现者应第一时间报告大赛办，同时采取措施避免事态扩大。大赛办应立即启动预案予以解决并报告组委会。赛项出现重大安全问题可以停赛，是否停赛由大赛办决定。事后，大赛办应向组委会报告详细情况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（五）处罚措施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因参赛队伍原因造成重大安全事故的，取消其获奖资格。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参赛队伍有发生重大安全事故隐患，经赛场工作人员提示、警告无效的，可取消其继续比赛的资格。</w:t>
      </w:r>
    </w:p>
    <w:p>
      <w:pPr>
        <w:spacing w:line="560" w:lineRule="atLeas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赛事工作人员违规的，按照相应的制度追究责任。情节恶劣并造成重大安全事故的，由司法机关追究相应法律责任。</w:t>
      </w:r>
    </w:p>
    <w:p/>
    <w:p>
      <w:pPr>
        <w:spacing w:line="480" w:lineRule="exact"/>
        <w:ind w:firstLine="560" w:firstLineChars="20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十四、竞赛须知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参赛选手须持本人身份证、学生证及统一签发的参赛证参加比赛；须提前在规定时间内到达赛区现场检录；迟到超过</w:t>
      </w:r>
      <w:r>
        <w:rPr>
          <w:rFonts w:ascii="仿宋_GB2312" w:hAnsi="宋体" w:eastAsia="仿宋_GB2312"/>
          <w:color w:val="000000"/>
          <w:sz w:val="28"/>
          <w:szCs w:val="28"/>
        </w:rPr>
        <w:t>15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分钟的选手，视作弃权，</w:t>
      </w:r>
      <w:r>
        <w:rPr>
          <w:rFonts w:hint="eastAsia" w:ascii="仿宋_GB2312" w:hAnsi="仿宋_GB2312" w:eastAsia="仿宋_GB2312"/>
          <w:sz w:val="28"/>
          <w:szCs w:val="28"/>
        </w:rPr>
        <w:t>不得入场比赛。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选手由引导员引导进入赛场，并在指定地点等候比赛，不得随意走动，不得大声喧哗。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选手不得携带任何书籍、纸质资料、通讯工具和存储设备（如</w:t>
      </w:r>
      <w:r>
        <w:rPr>
          <w:rFonts w:ascii="仿宋_GB2312" w:hAnsi="宋体" w:eastAsia="仿宋_GB2312"/>
          <w:color w:val="000000"/>
          <w:sz w:val="28"/>
          <w:szCs w:val="28"/>
        </w:rPr>
        <w:t>U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盘）进入赛场，一旦发现，视同作弊。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4.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所有比赛项目均须在规定时间内完成，超时或缺项将扣分。选手比赛结束，即跟随引导员离开赛场，不得在赛场滞留。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5.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在比赛过程中，要严格按照规定程序进行操作，爱护比赛现场的设备和器材，注意安全，防止意外事故发生。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6.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参赛选手应遵守比赛规则和赛场纪律，服从比赛大赛办的指挥和工作人员的安排。诚信参赛，拒绝舞弊，一旦发现弄虚作假等舞弊行</w:t>
      </w:r>
      <w:r>
        <w:rPr>
          <w:rFonts w:hint="eastAsia" w:ascii="仿宋_GB2312" w:hAnsi="宋体" w:eastAsia="仿宋_GB2312"/>
          <w:sz w:val="28"/>
          <w:szCs w:val="28"/>
        </w:rPr>
        <w:t>为，即取消该选手的比赛资格和成绩，并通报批评。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(</w:t>
      </w:r>
      <w:r>
        <w:rPr>
          <w:rFonts w:hint="eastAsia" w:ascii="仿宋_GB2312" w:hAnsi="宋体" w:eastAsia="仿宋_GB2312"/>
          <w:sz w:val="28"/>
          <w:szCs w:val="28"/>
        </w:rPr>
        <w:t>四</w:t>
      </w:r>
      <w:r>
        <w:rPr>
          <w:rFonts w:ascii="仿宋_GB2312" w:hAnsi="宋体" w:eastAsia="仿宋_GB2312"/>
          <w:sz w:val="28"/>
          <w:szCs w:val="28"/>
        </w:rPr>
        <w:t>)</w:t>
      </w:r>
      <w:r>
        <w:rPr>
          <w:rFonts w:hint="eastAsia" w:ascii="仿宋_GB2312" w:hAnsi="宋体" w:eastAsia="仿宋_GB2312"/>
          <w:sz w:val="28"/>
          <w:szCs w:val="28"/>
        </w:rPr>
        <w:t>工作人员须知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必须服从大赛办统一指挥，认真履行职责，做好比赛各项服务工作。按时到岗，尽职尽责做好分配的各项工作，保证比赛顺利进行。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协助大赛办做好抽签、检录、计时和统分等工作。认真检查、核准选手证件，引领选手进入和离开赛场，不得带领非参赛选手进入赛场。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如遇突发事件，要及时向大赛办报告，同时做好疏导工作，避免重大事故发生，确保比赛圆满成功。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不得在赛场内接听或打电话。坚守岗位，不做与工作岗位无关的事项。</w:t>
      </w:r>
    </w:p>
    <w:p>
      <w:pPr>
        <w:spacing w:line="480" w:lineRule="exact"/>
        <w:ind w:firstLine="560" w:firstLineChars="20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十五、申诉与仲裁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本赛项在比赛过程中若出现有失公正或有关人员违规等现象，参赛队领队可在比赛结束后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小时之内向仲裁组提出书面申诉。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书面申诉应对申诉事件的现象、发生时间、涉及人员、申诉依据等进行充分、实事求是的叙述，并由领队亲笔签名。非书面申诉不予受理。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赛项仲裁工作组在接到申诉报告后的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小时内组织复议，并及时将复议结果以书面形式告知申诉方，仲裁结果为最终结果。</w:t>
      </w:r>
    </w:p>
    <w:p>
      <w:pPr>
        <w:spacing w:line="480" w:lineRule="exact"/>
        <w:ind w:firstLine="697" w:firstLineChars="249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十六、竞赛观摩</w:t>
      </w:r>
    </w:p>
    <w:p>
      <w:pPr>
        <w:spacing w:line="560" w:lineRule="atLeast"/>
        <w:ind w:left="210" w:leftChars="100" w:firstLine="280" w:firstLineChars="1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比赛观摩对象为参赛院校师生及有关从业人员。观摩要求：</w:t>
      </w:r>
    </w:p>
    <w:p>
      <w:pPr>
        <w:spacing w:line="560" w:lineRule="atLeast"/>
        <w:ind w:left="210" w:leftChars="100" w:firstLine="280" w:firstLineChars="1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（一）观摩凭选手证、领队证、指导教师证、工作证等相关证件入场；</w:t>
      </w:r>
    </w:p>
    <w:p>
      <w:pPr>
        <w:spacing w:line="560" w:lineRule="atLeas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（二）不得喧哗，不得对场上比赛选手做出任何提示或干扰，不得进入评委席，不得干扰评委正常工作；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（三）若出现干扰比赛正常进行的行为，工作人员有权将相关人员带离现场。</w:t>
      </w:r>
    </w:p>
    <w:p>
      <w:pPr>
        <w:spacing w:line="480" w:lineRule="exact"/>
        <w:ind w:firstLine="686" w:firstLineChars="245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十七、竞赛录像</w:t>
      </w:r>
    </w:p>
    <w:p>
      <w:pPr>
        <w:widowControl/>
        <w:spacing w:line="560" w:lineRule="atLeas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大赛办要安排对全部比赛过程无盲点录像，同时，安排对优秀选手、优秀指导教师、评委和行业专家进行采访；突出赛项重点与优势特色，为大赛宣传和资源转化提供全面的信息资料。</w:t>
      </w:r>
    </w:p>
    <w:p>
      <w:pPr>
        <w:pStyle w:val="2"/>
        <w:keepNext w:val="0"/>
        <w:keepLines w:val="0"/>
        <w:adjustRightInd w:val="0"/>
        <w:snapToGrid w:val="0"/>
        <w:spacing w:before="0" w:after="0" w:line="560" w:lineRule="exact"/>
        <w:ind w:firstLine="829" w:firstLineChars="295"/>
        <w:jc w:val="left"/>
        <w:rPr>
          <w:rFonts w:ascii="仿宋_GB2312" w:hAnsi="仿宋" w:eastAsia="仿宋_GB2312" w:cs="宋体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 w:val="0"/>
          <w:kern w:val="0"/>
          <w:sz w:val="28"/>
          <w:szCs w:val="28"/>
        </w:rPr>
        <w:t>十八、资源转化</w:t>
      </w:r>
    </w:p>
    <w:p>
      <w:pPr>
        <w:spacing w:line="560" w:lineRule="atLeas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（一）赛项资源的整理归类</w:t>
      </w:r>
    </w:p>
    <w:p>
      <w:pPr>
        <w:spacing w:line="560" w:lineRule="atLeas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赛项结束后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个月内完成竞赛资源的整理与归档，并在此基础上完成制定资源转化方案。</w:t>
      </w:r>
    </w:p>
    <w:p>
      <w:pPr>
        <w:spacing w:line="560" w:lineRule="atLeas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二）教学资源转化方案</w:t>
      </w:r>
    </w:p>
    <w:p>
      <w:pPr>
        <w:spacing w:line="560" w:lineRule="atLeas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   1</w:t>
      </w:r>
      <w:r>
        <w:rPr>
          <w:rFonts w:hint="eastAsia" w:ascii="仿宋_GB2312" w:hAnsi="宋体" w:eastAsia="仿宋_GB2312"/>
          <w:sz w:val="28"/>
          <w:szCs w:val="28"/>
        </w:rPr>
        <w:t>．在赛项结束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个月内，整理编辑出竞赛获奖选手的风采展示片和竞赛宣传片。</w:t>
      </w:r>
    </w:p>
    <w:p>
      <w:pPr>
        <w:spacing w:line="560" w:lineRule="atLeast"/>
        <w:ind w:firstLine="63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．在赛项结束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个月内，完成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编辑比赛样题、比赛考核评分案例等，促进教学方式、培养模式、评价方式的改革，全面提升弹拨专业建设水</w:t>
      </w:r>
      <w:r>
        <w:rPr>
          <w:rFonts w:hint="eastAsia" w:ascii="仿宋_GB2312" w:hAnsi="宋体" w:eastAsia="仿宋_GB2312"/>
          <w:sz w:val="28"/>
          <w:szCs w:val="28"/>
        </w:rPr>
        <w:t>平。</w:t>
      </w:r>
    </w:p>
    <w:p>
      <w:pPr>
        <w:tabs>
          <w:tab w:val="left" w:pos="5286"/>
        </w:tabs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．在赛项结束半年内，完成比赛视频的编辑制作，推进教学资源开发。编辑比赛和专家点评音像记录，使之成为课堂教学真实、生动、共享性视频资源，为选拔和推出弹拨乐器优秀人才提供广阔的平台.</w:t>
      </w:r>
    </w:p>
    <w:p>
      <w:pPr>
        <w:tabs>
          <w:tab w:val="left" w:pos="5286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样题</w:t>
      </w:r>
    </w:p>
    <w:p>
      <w:pPr>
        <w:tabs>
          <w:tab w:val="left" w:pos="5286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评分标准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04E"/>
    <w:rsid w:val="000173EF"/>
    <w:rsid w:val="00043A43"/>
    <w:rsid w:val="00043E9F"/>
    <w:rsid w:val="00080BCD"/>
    <w:rsid w:val="00083130"/>
    <w:rsid w:val="00093F7E"/>
    <w:rsid w:val="000979AF"/>
    <w:rsid w:val="000B1499"/>
    <w:rsid w:val="000B2232"/>
    <w:rsid w:val="000D2B7E"/>
    <w:rsid w:val="000E371D"/>
    <w:rsid w:val="000F0BD7"/>
    <w:rsid w:val="000F587D"/>
    <w:rsid w:val="00106208"/>
    <w:rsid w:val="00106A85"/>
    <w:rsid w:val="001146C7"/>
    <w:rsid w:val="00122235"/>
    <w:rsid w:val="001245EB"/>
    <w:rsid w:val="00141A61"/>
    <w:rsid w:val="001431D2"/>
    <w:rsid w:val="00183D00"/>
    <w:rsid w:val="00190E60"/>
    <w:rsid w:val="001A49D6"/>
    <w:rsid w:val="001B12A4"/>
    <w:rsid w:val="001B6917"/>
    <w:rsid w:val="002033DF"/>
    <w:rsid w:val="0022086F"/>
    <w:rsid w:val="00236B01"/>
    <w:rsid w:val="00295C76"/>
    <w:rsid w:val="002A1941"/>
    <w:rsid w:val="002C5CE8"/>
    <w:rsid w:val="002D67E7"/>
    <w:rsid w:val="002F5CAB"/>
    <w:rsid w:val="00300C09"/>
    <w:rsid w:val="003127A2"/>
    <w:rsid w:val="00313143"/>
    <w:rsid w:val="00337227"/>
    <w:rsid w:val="00350B68"/>
    <w:rsid w:val="00365C4F"/>
    <w:rsid w:val="00366EBA"/>
    <w:rsid w:val="00393919"/>
    <w:rsid w:val="003941CB"/>
    <w:rsid w:val="003A0163"/>
    <w:rsid w:val="003D7BCC"/>
    <w:rsid w:val="00406183"/>
    <w:rsid w:val="0041353F"/>
    <w:rsid w:val="00455283"/>
    <w:rsid w:val="00456479"/>
    <w:rsid w:val="00490354"/>
    <w:rsid w:val="004929A7"/>
    <w:rsid w:val="004A6BC6"/>
    <w:rsid w:val="004A7A57"/>
    <w:rsid w:val="004D377C"/>
    <w:rsid w:val="004D5E22"/>
    <w:rsid w:val="004E6A82"/>
    <w:rsid w:val="004F0298"/>
    <w:rsid w:val="004F7E0F"/>
    <w:rsid w:val="005178A9"/>
    <w:rsid w:val="0053610C"/>
    <w:rsid w:val="0055287B"/>
    <w:rsid w:val="0056428E"/>
    <w:rsid w:val="00566F21"/>
    <w:rsid w:val="005770DB"/>
    <w:rsid w:val="00577F51"/>
    <w:rsid w:val="005818AC"/>
    <w:rsid w:val="005918C6"/>
    <w:rsid w:val="005A54A5"/>
    <w:rsid w:val="005A658F"/>
    <w:rsid w:val="005B07C1"/>
    <w:rsid w:val="00625368"/>
    <w:rsid w:val="00643E4B"/>
    <w:rsid w:val="00646749"/>
    <w:rsid w:val="00647CF0"/>
    <w:rsid w:val="00650DEE"/>
    <w:rsid w:val="0065473E"/>
    <w:rsid w:val="00654A14"/>
    <w:rsid w:val="00660AD4"/>
    <w:rsid w:val="0067122B"/>
    <w:rsid w:val="00681959"/>
    <w:rsid w:val="00683F91"/>
    <w:rsid w:val="00686B4F"/>
    <w:rsid w:val="006976D4"/>
    <w:rsid w:val="006D668B"/>
    <w:rsid w:val="006E4BA9"/>
    <w:rsid w:val="0073677C"/>
    <w:rsid w:val="007452BA"/>
    <w:rsid w:val="00764810"/>
    <w:rsid w:val="007743F6"/>
    <w:rsid w:val="0078032F"/>
    <w:rsid w:val="00790AE4"/>
    <w:rsid w:val="00795866"/>
    <w:rsid w:val="007A5369"/>
    <w:rsid w:val="007B599D"/>
    <w:rsid w:val="007B6D28"/>
    <w:rsid w:val="007C67C8"/>
    <w:rsid w:val="007E4C88"/>
    <w:rsid w:val="007F6A67"/>
    <w:rsid w:val="0082147F"/>
    <w:rsid w:val="008275EC"/>
    <w:rsid w:val="00832D51"/>
    <w:rsid w:val="00834343"/>
    <w:rsid w:val="0086127E"/>
    <w:rsid w:val="00864D30"/>
    <w:rsid w:val="00873BD5"/>
    <w:rsid w:val="00875C1C"/>
    <w:rsid w:val="0088126C"/>
    <w:rsid w:val="00891041"/>
    <w:rsid w:val="008D6DAA"/>
    <w:rsid w:val="00911846"/>
    <w:rsid w:val="0091209E"/>
    <w:rsid w:val="00915E24"/>
    <w:rsid w:val="0092046A"/>
    <w:rsid w:val="0092664C"/>
    <w:rsid w:val="00935141"/>
    <w:rsid w:val="00936842"/>
    <w:rsid w:val="009440CE"/>
    <w:rsid w:val="009554FF"/>
    <w:rsid w:val="00964D12"/>
    <w:rsid w:val="00982D05"/>
    <w:rsid w:val="009866AB"/>
    <w:rsid w:val="00987B62"/>
    <w:rsid w:val="00994165"/>
    <w:rsid w:val="0099670E"/>
    <w:rsid w:val="009A3C60"/>
    <w:rsid w:val="009A754D"/>
    <w:rsid w:val="009B469E"/>
    <w:rsid w:val="009C5561"/>
    <w:rsid w:val="009D1E8F"/>
    <w:rsid w:val="009D4CBA"/>
    <w:rsid w:val="009E1296"/>
    <w:rsid w:val="009F16D6"/>
    <w:rsid w:val="009F4B26"/>
    <w:rsid w:val="00A0532D"/>
    <w:rsid w:val="00A069A1"/>
    <w:rsid w:val="00A17670"/>
    <w:rsid w:val="00A2556B"/>
    <w:rsid w:val="00A33C6D"/>
    <w:rsid w:val="00A43298"/>
    <w:rsid w:val="00A64BD1"/>
    <w:rsid w:val="00AA7F89"/>
    <w:rsid w:val="00AC166A"/>
    <w:rsid w:val="00AC7F1B"/>
    <w:rsid w:val="00AD0E80"/>
    <w:rsid w:val="00AD0EDA"/>
    <w:rsid w:val="00B02484"/>
    <w:rsid w:val="00B06BB3"/>
    <w:rsid w:val="00B076B8"/>
    <w:rsid w:val="00B34559"/>
    <w:rsid w:val="00B53213"/>
    <w:rsid w:val="00B67D71"/>
    <w:rsid w:val="00B80DB2"/>
    <w:rsid w:val="00B82764"/>
    <w:rsid w:val="00B91356"/>
    <w:rsid w:val="00BA23A1"/>
    <w:rsid w:val="00BA5AAF"/>
    <w:rsid w:val="00BB2544"/>
    <w:rsid w:val="00BC6086"/>
    <w:rsid w:val="00BD045F"/>
    <w:rsid w:val="00BF0967"/>
    <w:rsid w:val="00C165B7"/>
    <w:rsid w:val="00C73ABA"/>
    <w:rsid w:val="00CB47E9"/>
    <w:rsid w:val="00CB5917"/>
    <w:rsid w:val="00CB6493"/>
    <w:rsid w:val="00CC5221"/>
    <w:rsid w:val="00CC74EE"/>
    <w:rsid w:val="00CD41DC"/>
    <w:rsid w:val="00CE47CF"/>
    <w:rsid w:val="00D531BA"/>
    <w:rsid w:val="00D55720"/>
    <w:rsid w:val="00D656A0"/>
    <w:rsid w:val="00D74577"/>
    <w:rsid w:val="00DA407B"/>
    <w:rsid w:val="00DC6BB8"/>
    <w:rsid w:val="00DE6BA0"/>
    <w:rsid w:val="00DF7929"/>
    <w:rsid w:val="00E17301"/>
    <w:rsid w:val="00E40099"/>
    <w:rsid w:val="00E478F3"/>
    <w:rsid w:val="00E558F9"/>
    <w:rsid w:val="00E60E3D"/>
    <w:rsid w:val="00E64697"/>
    <w:rsid w:val="00E73773"/>
    <w:rsid w:val="00E87845"/>
    <w:rsid w:val="00EB704E"/>
    <w:rsid w:val="00EC38F1"/>
    <w:rsid w:val="00EC798C"/>
    <w:rsid w:val="00EE3198"/>
    <w:rsid w:val="00EF4F22"/>
    <w:rsid w:val="00F41C3A"/>
    <w:rsid w:val="00F47558"/>
    <w:rsid w:val="00F56867"/>
    <w:rsid w:val="00F576C3"/>
    <w:rsid w:val="00F57975"/>
    <w:rsid w:val="00F63203"/>
    <w:rsid w:val="00F674C6"/>
    <w:rsid w:val="00F916E3"/>
    <w:rsid w:val="00F9329A"/>
    <w:rsid w:val="00F94055"/>
    <w:rsid w:val="00FA3252"/>
    <w:rsid w:val="00FB1B95"/>
    <w:rsid w:val="00FB4EAD"/>
    <w:rsid w:val="00FC2DBA"/>
    <w:rsid w:val="00FC4AD5"/>
    <w:rsid w:val="00FD3358"/>
    <w:rsid w:val="00FE2916"/>
    <w:rsid w:val="015F353A"/>
    <w:rsid w:val="02843F5F"/>
    <w:rsid w:val="05082F62"/>
    <w:rsid w:val="069E63A4"/>
    <w:rsid w:val="092613F0"/>
    <w:rsid w:val="098054D8"/>
    <w:rsid w:val="0A7E28F9"/>
    <w:rsid w:val="0AA344BB"/>
    <w:rsid w:val="0C2B6E5D"/>
    <w:rsid w:val="0D8E101D"/>
    <w:rsid w:val="0DEB1980"/>
    <w:rsid w:val="127A4CFD"/>
    <w:rsid w:val="12BE7C6A"/>
    <w:rsid w:val="16051A3A"/>
    <w:rsid w:val="17B900C2"/>
    <w:rsid w:val="190E05EB"/>
    <w:rsid w:val="1A313E65"/>
    <w:rsid w:val="1A4103CD"/>
    <w:rsid w:val="1AF95B71"/>
    <w:rsid w:val="1DB5575A"/>
    <w:rsid w:val="1F1D2496"/>
    <w:rsid w:val="24C174ED"/>
    <w:rsid w:val="256A5AC4"/>
    <w:rsid w:val="26A31BF3"/>
    <w:rsid w:val="26E7685E"/>
    <w:rsid w:val="290C4682"/>
    <w:rsid w:val="2C314C5E"/>
    <w:rsid w:val="2CBD27EF"/>
    <w:rsid w:val="2D6D0F56"/>
    <w:rsid w:val="31A02B70"/>
    <w:rsid w:val="323B6039"/>
    <w:rsid w:val="33685095"/>
    <w:rsid w:val="382D3BEC"/>
    <w:rsid w:val="388C5EB1"/>
    <w:rsid w:val="396616A7"/>
    <w:rsid w:val="3A29632A"/>
    <w:rsid w:val="3B795B33"/>
    <w:rsid w:val="3E0F6662"/>
    <w:rsid w:val="45A97F95"/>
    <w:rsid w:val="45DA436E"/>
    <w:rsid w:val="47383E2F"/>
    <w:rsid w:val="47A616FF"/>
    <w:rsid w:val="482F0818"/>
    <w:rsid w:val="4C063DE5"/>
    <w:rsid w:val="4C827877"/>
    <w:rsid w:val="4C8603DC"/>
    <w:rsid w:val="4CC30C88"/>
    <w:rsid w:val="4E6F70F0"/>
    <w:rsid w:val="4F2057AD"/>
    <w:rsid w:val="55274015"/>
    <w:rsid w:val="55BC21D3"/>
    <w:rsid w:val="583D1F98"/>
    <w:rsid w:val="59285CCA"/>
    <w:rsid w:val="5E125B80"/>
    <w:rsid w:val="62B05D8F"/>
    <w:rsid w:val="648824E4"/>
    <w:rsid w:val="67321A41"/>
    <w:rsid w:val="689048FC"/>
    <w:rsid w:val="6C831F96"/>
    <w:rsid w:val="6CF318DD"/>
    <w:rsid w:val="6D225A53"/>
    <w:rsid w:val="6EA92C64"/>
    <w:rsid w:val="70532F2B"/>
    <w:rsid w:val="71962B62"/>
    <w:rsid w:val="730B5E6C"/>
    <w:rsid w:val="74245A84"/>
    <w:rsid w:val="76173DE0"/>
    <w:rsid w:val="7B053C03"/>
    <w:rsid w:val="7CB877CB"/>
    <w:rsid w:val="7DCB3419"/>
    <w:rsid w:val="7E1613DA"/>
    <w:rsid w:val="7FE86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99"/>
    <w:pPr>
      <w:jc w:val="left"/>
    </w:pPr>
    <w:rPr>
      <w:rFonts w:ascii="Calibri" w:hAnsi="Calibri"/>
      <w:kern w:val="0"/>
      <w:sz w:val="24"/>
      <w:szCs w:val="20"/>
    </w:rPr>
  </w:style>
  <w:style w:type="paragraph" w:styleId="4">
    <w:name w:val="Plain Text"/>
    <w:basedOn w:val="1"/>
    <w:link w:val="13"/>
    <w:qFormat/>
    <w:uiPriority w:val="99"/>
    <w:rPr>
      <w:rFonts w:ascii="宋体" w:hAnsi="Courier New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sz w:val="24"/>
      <w:szCs w:val="24"/>
      <w:u w:val="single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8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纯文本 Char"/>
    <w:basedOn w:val="8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Comment Text Char"/>
    <w:basedOn w:val="8"/>
    <w:link w:val="3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7">
    <w:name w:val="批注文字 Char"/>
    <w:basedOn w:val="8"/>
    <w:link w:val="3"/>
    <w:semiHidden/>
    <w:qFormat/>
    <w:locked/>
    <w:uiPriority w:val="99"/>
    <w:rPr>
      <w:rFonts w:ascii="Calibri" w:hAnsi="Calibri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733</Words>
  <Characters>4181</Characters>
  <Lines>34</Lines>
  <Paragraphs>9</Paragraphs>
  <ScaleCrop>false</ScaleCrop>
  <LinksUpToDate>false</LinksUpToDate>
  <CharactersWithSpaces>4905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2017-08-06T06:25:00Z</dcterms:created>
  <dc:creator>Lenovo</dc:creator>
  <cp:lastModifiedBy>lenovo</cp:lastModifiedBy>
  <dcterms:modified xsi:type="dcterms:W3CDTF">2018-09-27T05:54:06Z</dcterms:modified>
  <dc:title>2017年度沈阳职业院校技能大赛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