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tLeast"/>
        <w:jc w:val="center"/>
        <w:rPr>
          <w:rFonts w:ascii="黑体" w:hAnsi="黑体" w:eastAsia="黑体"/>
          <w:b/>
          <w:sz w:val="36"/>
          <w:szCs w:val="44"/>
        </w:rPr>
      </w:pPr>
      <w:r>
        <w:rPr>
          <w:rFonts w:ascii="黑体" w:hAnsi="黑体" w:eastAsia="黑体"/>
          <w:b/>
          <w:sz w:val="36"/>
          <w:szCs w:val="44"/>
        </w:rPr>
        <w:t>201</w:t>
      </w:r>
      <w:r>
        <w:rPr>
          <w:rFonts w:hint="eastAsia" w:ascii="黑体" w:hAnsi="黑体" w:eastAsia="黑体"/>
          <w:b/>
          <w:sz w:val="36"/>
          <w:szCs w:val="44"/>
        </w:rPr>
        <w:t>8</w:t>
      </w:r>
      <w:r>
        <w:rPr>
          <w:rFonts w:hint="eastAsia" w:ascii="黑体" w:hAnsi="黑体" w:eastAsia="黑体" w:cs="宋体"/>
          <w:b/>
          <w:sz w:val="36"/>
          <w:szCs w:val="44"/>
        </w:rPr>
        <w:t>年沈阳职业院校技能大赛</w:t>
      </w:r>
    </w:p>
    <w:p>
      <w:pPr>
        <w:adjustRightInd w:val="0"/>
        <w:snapToGrid w:val="0"/>
        <w:spacing w:line="240" w:lineRule="atLeast"/>
        <w:jc w:val="center"/>
        <w:rPr>
          <w:rFonts w:ascii="黑体" w:hAnsi="黑体" w:eastAsia="黑体"/>
          <w:b/>
          <w:sz w:val="36"/>
          <w:szCs w:val="44"/>
        </w:rPr>
      </w:pPr>
      <w:r>
        <w:rPr>
          <w:rFonts w:hint="eastAsia" w:ascii="黑体" w:hAnsi="黑体" w:eastAsia="黑体"/>
          <w:b/>
          <w:sz w:val="36"/>
          <w:szCs w:val="44"/>
        </w:rPr>
        <w:t>中职专业组“</w:t>
      </w:r>
      <w:r>
        <w:rPr>
          <w:rFonts w:hint="eastAsia" w:ascii="黑体" w:hAnsi="仿宋_GB2312" w:eastAsia="黑体" w:cs="仿宋_GB2312"/>
          <w:b/>
          <w:sz w:val="36"/>
          <w:szCs w:val="36"/>
        </w:rPr>
        <w:t>弹拨乐器演奏</w:t>
      </w:r>
      <w:r>
        <w:rPr>
          <w:rFonts w:hint="eastAsia" w:ascii="黑体" w:hAnsi="黑体" w:eastAsia="黑体" w:cs="宋体"/>
          <w:b/>
          <w:sz w:val="36"/>
          <w:szCs w:val="44"/>
        </w:rPr>
        <w:t>”赛项规程</w:t>
      </w:r>
    </w:p>
    <w:p>
      <w:pPr>
        <w:pStyle w:val="2"/>
        <w:keepNext w:val="0"/>
        <w:keepLines w:val="0"/>
        <w:adjustRightInd w:val="0"/>
        <w:snapToGrid w:val="0"/>
        <w:spacing w:before="0" w:after="0" w:line="540" w:lineRule="exact"/>
        <w:ind w:firstLine="562" w:firstLineChars="200"/>
        <w:jc w:val="left"/>
        <w:rPr>
          <w:rFonts w:ascii="仿宋_GB2312" w:hAnsi="黑体" w:eastAsia="仿宋_GB2312" w:cs="宋体"/>
          <w:bCs w:val="0"/>
          <w:kern w:val="0"/>
          <w:sz w:val="28"/>
          <w:szCs w:val="28"/>
        </w:rPr>
      </w:pPr>
    </w:p>
    <w:p>
      <w:pPr>
        <w:pStyle w:val="2"/>
        <w:keepNext w:val="0"/>
        <w:keepLines w:val="0"/>
        <w:adjustRightInd w:val="0"/>
        <w:snapToGrid w:val="0"/>
        <w:spacing w:before="0" w:after="0" w:line="480" w:lineRule="exact"/>
        <w:ind w:firstLine="562" w:firstLineChars="200"/>
        <w:jc w:val="left"/>
        <w:rPr>
          <w:rFonts w:ascii="仿宋_GB2312" w:hAnsi="仿宋" w:eastAsia="仿宋_GB2312" w:cs="宋体"/>
          <w:bCs w:val="0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bCs w:val="0"/>
          <w:kern w:val="0"/>
          <w:sz w:val="28"/>
          <w:szCs w:val="28"/>
        </w:rPr>
        <w:t>一、赛项名称</w:t>
      </w:r>
    </w:p>
    <w:p>
      <w:pPr>
        <w:spacing w:line="480" w:lineRule="exact"/>
        <w:ind w:firstLine="570"/>
        <w:rPr>
          <w:rFonts w:ascii="仿宋_GB2312" w:hAnsi="仿宋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bCs/>
          <w:kern w:val="0"/>
          <w:sz w:val="28"/>
          <w:szCs w:val="28"/>
        </w:rPr>
        <w:t>赛项编号：</w:t>
      </w:r>
      <w:r>
        <w:rPr>
          <w:rFonts w:ascii="仿宋_GB2312" w:hAnsi="仿宋" w:eastAsia="仿宋_GB2312" w:cs="宋体"/>
          <w:bCs/>
          <w:kern w:val="0"/>
          <w:sz w:val="28"/>
          <w:szCs w:val="28"/>
        </w:rPr>
        <w:t>ZZ-</w:t>
      </w:r>
      <w:r>
        <w:rPr>
          <w:rFonts w:hint="eastAsia" w:ascii="仿宋_GB2312" w:hAnsi="仿宋" w:eastAsia="仿宋_GB2312" w:cs="宋体"/>
          <w:bCs/>
          <w:kern w:val="0"/>
          <w:sz w:val="28"/>
          <w:szCs w:val="28"/>
        </w:rPr>
        <w:t>11</w:t>
      </w:r>
    </w:p>
    <w:p>
      <w:pPr>
        <w:spacing w:line="480" w:lineRule="exact"/>
        <w:ind w:firstLine="570"/>
        <w:rPr>
          <w:rFonts w:ascii="仿宋_GB2312" w:hAnsi="仿宋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bCs/>
          <w:kern w:val="0"/>
          <w:sz w:val="28"/>
          <w:szCs w:val="28"/>
        </w:rPr>
        <w:t>赛项名称：</w:t>
      </w:r>
      <w:r>
        <w:rPr>
          <w:rFonts w:hint="eastAsia" w:ascii="仿宋_GB2312" w:hAnsi="仿宋" w:eastAsia="仿宋_GB2312"/>
          <w:sz w:val="28"/>
          <w:szCs w:val="28"/>
        </w:rPr>
        <w:t>艺术专业技能大赛（</w:t>
      </w:r>
      <w:r>
        <w:rPr>
          <w:rFonts w:hint="eastAsia" w:ascii="仿宋_GB2312" w:hAnsi="仿宋_GB2312" w:eastAsia="仿宋_GB2312" w:cs="仿宋_GB2312"/>
          <w:sz w:val="28"/>
          <w:szCs w:val="28"/>
        </w:rPr>
        <w:t>弹拨乐器演奏</w:t>
      </w:r>
      <w:r>
        <w:rPr>
          <w:rFonts w:hint="eastAsia" w:ascii="仿宋_GB2312" w:hAnsi="仿宋" w:eastAsia="仿宋_GB2312"/>
          <w:sz w:val="28"/>
          <w:szCs w:val="28"/>
        </w:rPr>
        <w:t>）</w:t>
      </w:r>
    </w:p>
    <w:p>
      <w:pPr>
        <w:spacing w:line="480" w:lineRule="exact"/>
        <w:ind w:firstLine="570"/>
        <w:rPr>
          <w:rFonts w:ascii="仿宋_GB2312" w:hAnsi="仿宋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bCs/>
          <w:kern w:val="0"/>
          <w:sz w:val="28"/>
          <w:szCs w:val="28"/>
        </w:rPr>
        <w:t>赛项组别：专业组</w:t>
      </w:r>
    </w:p>
    <w:p>
      <w:pPr>
        <w:spacing w:line="480" w:lineRule="exact"/>
        <w:ind w:firstLine="570"/>
        <w:rPr>
          <w:rFonts w:ascii="仿宋_GB2312" w:hAnsi="仿宋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bCs/>
          <w:kern w:val="0"/>
          <w:sz w:val="28"/>
          <w:szCs w:val="28"/>
        </w:rPr>
        <w:t>赛项归属产业：文化艺术</w:t>
      </w:r>
    </w:p>
    <w:p>
      <w:pPr>
        <w:pStyle w:val="2"/>
        <w:keepNext w:val="0"/>
        <w:keepLines w:val="0"/>
        <w:adjustRightInd w:val="0"/>
        <w:snapToGrid w:val="0"/>
        <w:spacing w:before="0" w:after="0" w:line="480" w:lineRule="exact"/>
        <w:ind w:firstLine="562" w:firstLineChars="200"/>
        <w:jc w:val="left"/>
        <w:rPr>
          <w:rFonts w:ascii="仿宋_GB2312" w:hAnsi="仿宋" w:eastAsia="仿宋_GB2312" w:cs="宋体"/>
          <w:bCs w:val="0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bCs w:val="0"/>
          <w:kern w:val="0"/>
          <w:sz w:val="28"/>
          <w:szCs w:val="28"/>
        </w:rPr>
        <w:t>二、竞赛目的</w:t>
      </w:r>
    </w:p>
    <w:p>
      <w:pPr>
        <w:adjustRightInd w:val="0"/>
        <w:snapToGrid w:val="0"/>
        <w:spacing w:line="48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通过比赛，全面考察、展示和提升中等职业学校中国弹拨乐器演奏专业学生（选手）的基本技能、曲目演奏、知识应用等综合专业能力和职业素养。引领推进中职弹拨乐器演奏专业教育教学改革和发展，为选拔和推出优秀弹拨乐器表演人才提供广阔平台。</w:t>
      </w:r>
    </w:p>
    <w:p/>
    <w:p>
      <w:pPr>
        <w:pStyle w:val="2"/>
        <w:keepNext w:val="0"/>
        <w:keepLines w:val="0"/>
        <w:adjustRightInd w:val="0"/>
        <w:snapToGrid w:val="0"/>
        <w:spacing w:before="0" w:after="0" w:line="480" w:lineRule="exact"/>
        <w:ind w:firstLine="562" w:firstLineChars="200"/>
        <w:jc w:val="left"/>
        <w:rPr>
          <w:rFonts w:ascii="仿宋_GB2312" w:hAnsi="仿宋" w:eastAsia="仿宋_GB2312" w:cs="宋体"/>
          <w:bCs w:val="0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bCs w:val="0"/>
          <w:kern w:val="0"/>
          <w:sz w:val="28"/>
          <w:szCs w:val="28"/>
        </w:rPr>
        <w:t>三、竞赛内容与时间</w:t>
      </w:r>
    </w:p>
    <w:p/>
    <w:p>
      <w:pPr>
        <w:spacing w:line="480" w:lineRule="exact"/>
        <w:ind w:left="1"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本赛项竞赛内容包括为乐曲演奏、视唱、视奏、乐理知识。演奏形式为独奏。</w:t>
      </w:r>
      <w:r>
        <w:rPr>
          <w:rFonts w:hint="eastAsia" w:ascii="仿宋_GB2312" w:hAnsi="仿宋" w:eastAsia="仿宋_GB2312"/>
          <w:sz w:val="28"/>
          <w:szCs w:val="28"/>
        </w:rPr>
        <w:t>竞赛分为两轮进行。</w:t>
      </w:r>
    </w:p>
    <w:p>
      <w:pPr>
        <w:adjustRightInd w:val="0"/>
        <w:snapToGrid w:val="0"/>
        <w:spacing w:line="48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（一）</w:t>
      </w:r>
      <w:r>
        <w:rPr>
          <w:rFonts w:hint="eastAsia" w:ascii="仿宋_GB2312" w:hAnsi="仿宋_GB2312" w:eastAsia="仿宋_GB2312" w:cs="仿宋_GB2312"/>
          <w:sz w:val="28"/>
          <w:szCs w:val="28"/>
        </w:rPr>
        <w:t>第一轮比赛（全体选手参加）</w:t>
      </w:r>
    </w:p>
    <w:p>
      <w:pPr>
        <w:adjustRightInd w:val="0"/>
        <w:snapToGrid w:val="0"/>
        <w:spacing w:line="480" w:lineRule="exact"/>
        <w:ind w:firstLine="560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ascii="仿宋_GB2312" w:hAnsi="仿宋_GB2312" w:eastAsia="仿宋_GB2312" w:cs="仿宋_GB2312"/>
          <w:color w:val="000000"/>
          <w:sz w:val="28"/>
          <w:szCs w:val="28"/>
        </w:rPr>
        <w:t>1.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乐曲演奏（分值权重70%）</w:t>
      </w:r>
    </w:p>
    <w:p>
      <w:pPr>
        <w:adjustRightInd w:val="0"/>
        <w:snapToGrid w:val="0"/>
        <w:spacing w:line="480" w:lineRule="exact"/>
        <w:ind w:left="1" w:firstLine="560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选手自选乐曲一首，现场演奏，时间</w:t>
      </w:r>
      <w:r>
        <w:rPr>
          <w:rFonts w:ascii="仿宋_GB2312" w:hAnsi="仿宋_GB2312" w:eastAsia="仿宋_GB2312" w:cs="仿宋_GB2312"/>
          <w:sz w:val="28"/>
          <w:szCs w:val="28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</w:rPr>
        <w:t>分钟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以内。重点考察选手的演奏技能、音乐表现和舞台实践能力。</w:t>
      </w:r>
    </w:p>
    <w:p>
      <w:pPr>
        <w:adjustRightInd w:val="0"/>
        <w:snapToGrid w:val="0"/>
        <w:spacing w:line="480" w:lineRule="exact"/>
        <w:ind w:firstLine="560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乐曲曲目要求：选手任选一首中国传统乐曲或现代乐曲。</w:t>
      </w:r>
    </w:p>
    <w:p>
      <w:pPr>
        <w:pStyle w:val="7"/>
        <w:widowControl/>
        <w:spacing w:line="480" w:lineRule="atLeast"/>
        <w:ind w:left="76" w:right="76" w:firstLine="560" w:firstLineChars="200"/>
        <w:jc w:val="left"/>
        <w:rPr>
          <w:rFonts w:ascii="仿宋" w:hAnsi="仿宋" w:eastAsia="仿宋" w:cs="仿宋"/>
          <w:color w:val="000000"/>
          <w:spacing w:val="-7"/>
          <w:sz w:val="28"/>
          <w:szCs w:val="28"/>
          <w:shd w:val="clear" w:color="auto" w:fill="FFFFFF"/>
        </w:rPr>
      </w:pPr>
      <w:r>
        <w:rPr>
          <w:rFonts w:ascii="仿宋_GB2312" w:hAnsi="仿宋_GB2312" w:eastAsia="仿宋_GB2312" w:cs="仿宋_GB2312"/>
          <w:color w:val="000000"/>
          <w:sz w:val="28"/>
          <w:szCs w:val="28"/>
        </w:rPr>
        <w:t>2.</w:t>
      </w:r>
      <w:r>
        <w:rPr>
          <w:rFonts w:hint="eastAsia" w:ascii="仿宋" w:hAnsi="仿宋" w:eastAsia="仿宋" w:cs="仿宋"/>
          <w:color w:val="000000"/>
          <w:spacing w:val="-7"/>
          <w:sz w:val="28"/>
          <w:szCs w:val="28"/>
          <w:shd w:val="clear" w:color="auto" w:fill="FFFFFF"/>
        </w:rPr>
        <w:t>视唱（分值权重10%）</w:t>
      </w:r>
    </w:p>
    <w:p>
      <w:pPr>
        <w:adjustRightInd w:val="0"/>
        <w:snapToGrid w:val="0"/>
        <w:spacing w:line="480" w:lineRule="exact"/>
        <w:ind w:left="1" w:firstLine="560" w:firstLineChars="200"/>
        <w:jc w:val="left"/>
        <w:rPr>
          <w:rFonts w:ascii="仿宋" w:hAnsi="仿宋" w:eastAsia="仿宋" w:cs="仿宋"/>
          <w:color w:val="000000"/>
          <w:spacing w:val="-9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选手</w:t>
      </w:r>
      <w:r>
        <w:rPr>
          <w:rFonts w:hint="eastAsia" w:ascii="仿宋" w:hAnsi="仿宋" w:eastAsia="仿宋" w:cs="仿宋"/>
          <w:color w:val="000000"/>
          <w:spacing w:val="-11"/>
          <w:sz w:val="28"/>
          <w:szCs w:val="28"/>
          <w:shd w:val="clear" w:color="auto" w:fill="FFFFFF"/>
        </w:rPr>
        <w:t>现场抽取视唱题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1题，准备30秒，</w:t>
      </w:r>
      <w:r>
        <w:rPr>
          <w:rFonts w:hint="eastAsia" w:ascii="仿宋" w:hAnsi="仿宋" w:eastAsia="仿宋" w:cs="仿宋"/>
          <w:color w:val="000000"/>
          <w:spacing w:val="-5"/>
          <w:sz w:val="28"/>
          <w:szCs w:val="28"/>
          <w:shd w:val="clear" w:color="auto" w:fill="FFFFFF"/>
        </w:rPr>
        <w:t>由钢琴老师现场给标准音后，即选手完整的演唱视唱题，</w:t>
      </w:r>
      <w:r>
        <w:rPr>
          <w:rFonts w:hint="eastAsia" w:ascii="仿宋" w:hAnsi="仿宋" w:eastAsia="仿宋" w:cs="仿宋"/>
          <w:color w:val="000000"/>
          <w:spacing w:val="-9"/>
          <w:sz w:val="28"/>
          <w:szCs w:val="28"/>
          <w:shd w:val="clear" w:color="auto" w:fill="FFFFFF"/>
        </w:rPr>
        <w:t>重点考察选手对音高、节奏、旋律的感知能力。</w:t>
      </w:r>
    </w:p>
    <w:p>
      <w:pPr>
        <w:adjustRightInd w:val="0"/>
        <w:snapToGrid w:val="0"/>
        <w:spacing w:line="48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（二）</w:t>
      </w:r>
      <w:r>
        <w:rPr>
          <w:rFonts w:hint="eastAsia" w:ascii="仿宋_GB2312" w:hAnsi="仿宋_GB2312" w:eastAsia="仿宋_GB2312" w:cs="仿宋_GB2312"/>
          <w:sz w:val="28"/>
          <w:szCs w:val="28"/>
        </w:rPr>
        <w:t>第二轮比赛（</w:t>
      </w:r>
      <w:r>
        <w:rPr>
          <w:rFonts w:ascii="仿宋_GB2312" w:hAnsi="仿宋_GB2312" w:eastAsia="仿宋_GB2312" w:cs="仿宋_GB2312"/>
          <w:sz w:val="28"/>
          <w:szCs w:val="28"/>
        </w:rPr>
        <w:t>60%</w:t>
      </w:r>
      <w:r>
        <w:rPr>
          <w:rFonts w:hint="eastAsia" w:ascii="仿宋_GB2312" w:hAnsi="仿宋_GB2312" w:eastAsia="仿宋_GB2312" w:cs="仿宋_GB2312"/>
          <w:sz w:val="28"/>
          <w:szCs w:val="28"/>
        </w:rPr>
        <w:t>选手参加）</w:t>
      </w:r>
    </w:p>
    <w:p>
      <w:pPr>
        <w:adjustRightInd w:val="0"/>
        <w:snapToGrid w:val="0"/>
        <w:spacing w:line="480" w:lineRule="exact"/>
        <w:ind w:firstLine="560" w:firstLineChars="200"/>
        <w:jc w:val="left"/>
        <w:rPr>
          <w:rFonts w:ascii="仿宋" w:hAnsi="仿宋" w:eastAsia="仿宋" w:cs="仿宋"/>
          <w:color w:val="000000"/>
          <w:spacing w:val="-10"/>
          <w:sz w:val="28"/>
          <w:szCs w:val="28"/>
        </w:rPr>
      </w:pPr>
      <w:r>
        <w:rPr>
          <w:rFonts w:ascii="仿宋_GB2312" w:hAnsi="仿宋_GB2312" w:eastAsia="仿宋_GB2312" w:cs="仿宋_GB2312"/>
          <w:color w:val="000000"/>
          <w:sz w:val="28"/>
          <w:szCs w:val="28"/>
        </w:rPr>
        <w:t>1.</w:t>
      </w:r>
      <w:r>
        <w:rPr>
          <w:rFonts w:hint="eastAsia" w:ascii="仿宋" w:hAnsi="仿宋" w:eastAsia="仿宋" w:cs="仿宋"/>
          <w:color w:val="000000"/>
          <w:spacing w:val="-10"/>
          <w:sz w:val="28"/>
          <w:szCs w:val="28"/>
          <w:shd w:val="clear" w:color="auto" w:fill="FFFFFF"/>
        </w:rPr>
        <w:t xml:space="preserve"> 视奏（分值权重15%）</w:t>
      </w:r>
    </w:p>
    <w:p>
      <w:pPr>
        <w:adjustRightInd w:val="0"/>
        <w:snapToGrid w:val="0"/>
        <w:spacing w:line="480" w:lineRule="exact"/>
        <w:ind w:firstLine="560" w:firstLineChars="200"/>
        <w:jc w:val="left"/>
        <w:rPr>
          <w:rFonts w:ascii="仿宋" w:hAnsi="仿宋" w:eastAsia="仿宋" w:cs="仿宋"/>
          <w:color w:val="000000"/>
          <w:spacing w:val="-8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选手</w:t>
      </w:r>
      <w:r>
        <w:rPr>
          <w:rFonts w:hint="eastAsia" w:ascii="仿宋" w:hAnsi="仿宋" w:eastAsia="仿宋" w:cs="仿宋"/>
          <w:color w:val="000000"/>
          <w:spacing w:val="-10"/>
          <w:sz w:val="28"/>
          <w:szCs w:val="28"/>
          <w:shd w:val="clear" w:color="auto" w:fill="FFFFFF"/>
        </w:rPr>
        <w:t>现场抽取视奏题</w:t>
      </w:r>
      <w:r>
        <w:rPr>
          <w:rFonts w:hint="eastAsia" w:ascii="仿宋" w:hAnsi="仿宋" w:eastAsia="仿宋" w:cs="仿宋"/>
          <w:color w:val="000000"/>
          <w:spacing w:val="-28"/>
          <w:sz w:val="28"/>
          <w:szCs w:val="28"/>
          <w:shd w:val="clear" w:color="auto" w:fill="FFFFFF"/>
        </w:rPr>
        <w:t>，准</w:t>
      </w:r>
      <w:r>
        <w:rPr>
          <w:rFonts w:hint="eastAsia" w:ascii="仿宋" w:hAnsi="仿宋" w:eastAsia="仿宋" w:cs="仿宋"/>
          <w:color w:val="000000"/>
          <w:spacing w:val="-4"/>
          <w:sz w:val="28"/>
          <w:szCs w:val="28"/>
          <w:shd w:val="clear" w:color="auto" w:fill="FFFFFF"/>
        </w:rPr>
        <w:t>备1分钟后，即按要求进行视奏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。</w:t>
      </w:r>
      <w:r>
        <w:rPr>
          <w:rFonts w:hint="eastAsia" w:ascii="仿宋" w:hAnsi="仿宋" w:eastAsia="仿宋" w:cs="仿宋"/>
          <w:color w:val="000000"/>
          <w:spacing w:val="-9"/>
          <w:sz w:val="28"/>
          <w:szCs w:val="28"/>
          <w:shd w:val="clear" w:color="auto" w:fill="FFFFFF"/>
        </w:rPr>
        <w:t>重点考察选手的演奏基本功和新谱视</w:t>
      </w:r>
      <w:r>
        <w:rPr>
          <w:rFonts w:hint="eastAsia" w:ascii="仿宋" w:hAnsi="仿宋" w:eastAsia="仿宋" w:cs="仿宋"/>
          <w:color w:val="000000"/>
          <w:spacing w:val="-8"/>
          <w:sz w:val="28"/>
          <w:szCs w:val="28"/>
          <w:shd w:val="clear" w:color="auto" w:fill="FFFFFF"/>
        </w:rPr>
        <w:t>奏能力以及分析表现音乐旋律的能力。</w:t>
      </w:r>
    </w:p>
    <w:p>
      <w:pPr>
        <w:adjustRightInd w:val="0"/>
        <w:snapToGrid w:val="0"/>
        <w:spacing w:line="480" w:lineRule="exact"/>
        <w:ind w:left="1" w:firstLine="524" w:firstLineChars="200"/>
        <w:jc w:val="left"/>
        <w:rPr>
          <w:rFonts w:ascii="仿宋" w:hAnsi="仿宋" w:eastAsia="仿宋" w:cs="仿宋"/>
          <w:color w:val="000000"/>
          <w:spacing w:val="-9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pacing w:val="-9"/>
          <w:sz w:val="28"/>
          <w:szCs w:val="28"/>
          <w:shd w:val="clear" w:color="auto" w:fill="FFFFFF"/>
        </w:rPr>
        <w:t>3.乐理知识（分值权重5%）</w:t>
      </w:r>
    </w:p>
    <w:p>
      <w:pPr>
        <w:adjustRightInd w:val="0"/>
        <w:snapToGrid w:val="0"/>
        <w:spacing w:line="480" w:lineRule="exact"/>
        <w:ind w:left="1" w:firstLine="524" w:firstLineChars="200"/>
        <w:jc w:val="left"/>
        <w:rPr>
          <w:rFonts w:ascii="仿宋" w:hAnsi="仿宋" w:eastAsia="仿宋" w:cs="仿宋"/>
          <w:color w:val="000000"/>
          <w:spacing w:val="-9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-9"/>
          <w:sz w:val="28"/>
          <w:szCs w:val="28"/>
          <w:shd w:val="clear" w:color="auto" w:fill="FFFFFF"/>
        </w:rPr>
        <w:t>选手现场抽取1道赛题后独立回答问题，赛题内容包括音乐理论基础知识（童忠良-基本乐理教程），赛题形式为填空、选择、问答。时间为1分钟。重点考察选手的专业理论知识水平。</w:t>
      </w:r>
    </w:p>
    <w:p>
      <w:pPr>
        <w:spacing w:line="48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竞赛时间安排</w:t>
      </w:r>
    </w:p>
    <w:tbl>
      <w:tblPr>
        <w:tblStyle w:val="10"/>
        <w:tblW w:w="90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417"/>
        <w:gridCol w:w="3199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56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Arial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bCs/>
                <w:kern w:val="0"/>
                <w:sz w:val="24"/>
              </w:rPr>
              <w:t>日期</w:t>
            </w:r>
          </w:p>
        </w:tc>
        <w:tc>
          <w:tcPr>
            <w:tcW w:w="141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Arial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bCs/>
                <w:kern w:val="0"/>
                <w:sz w:val="24"/>
              </w:rPr>
              <w:t>时间</w:t>
            </w:r>
          </w:p>
        </w:tc>
        <w:tc>
          <w:tcPr>
            <w:tcW w:w="3199" w:type="dxa"/>
            <w:vAlign w:val="center"/>
          </w:tcPr>
          <w:p>
            <w:pPr>
              <w:snapToGrid w:val="0"/>
              <w:spacing w:line="480" w:lineRule="exact"/>
              <w:ind w:firstLine="420"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地点</w:t>
            </w:r>
          </w:p>
        </w:tc>
        <w:tc>
          <w:tcPr>
            <w:tcW w:w="2880" w:type="dxa"/>
            <w:vAlign w:val="center"/>
          </w:tcPr>
          <w:p>
            <w:pPr>
              <w:snapToGrid w:val="0"/>
              <w:spacing w:line="480" w:lineRule="exact"/>
              <w:ind w:firstLine="420"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560" w:type="dxa"/>
          </w:tcPr>
          <w:p>
            <w:pPr>
              <w:spacing w:line="480" w:lineRule="exact"/>
              <w:rPr>
                <w:rFonts w:hint="eastAsia" w:ascii="仿宋_GB2312" w:hAnsi="宋体" w:eastAsia="仿宋_GB2312" w:cs="Arial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bCs/>
                <w:kern w:val="0"/>
                <w:sz w:val="24"/>
                <w:lang w:val="en-US" w:eastAsia="zh-CN"/>
              </w:rPr>
              <w:t>2018年10月23</w:t>
            </w:r>
          </w:p>
        </w:tc>
        <w:tc>
          <w:tcPr>
            <w:tcW w:w="141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Arial"/>
                <w:bCs/>
                <w:kern w:val="0"/>
                <w:sz w:val="24"/>
              </w:rPr>
            </w:pPr>
          </w:p>
        </w:tc>
        <w:tc>
          <w:tcPr>
            <w:tcW w:w="3199" w:type="dxa"/>
          </w:tcPr>
          <w:p>
            <w:pPr>
              <w:snapToGrid w:val="0"/>
              <w:spacing w:line="48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eastAsia="zh-CN"/>
              </w:rPr>
              <w:t>沈阳市旅游学校</w:t>
            </w:r>
            <w:bookmarkStart w:id="0" w:name="_GoBack"/>
            <w:bookmarkEnd w:id="0"/>
          </w:p>
        </w:tc>
        <w:tc>
          <w:tcPr>
            <w:tcW w:w="2880" w:type="dxa"/>
          </w:tcPr>
          <w:p>
            <w:pPr>
              <w:snapToGrid w:val="0"/>
              <w:spacing w:line="480" w:lineRule="exact"/>
              <w:jc w:val="left"/>
              <w:rPr>
                <w:rFonts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弹拨演奏及专业能力考查</w:t>
            </w:r>
          </w:p>
        </w:tc>
      </w:tr>
    </w:tbl>
    <w:p>
      <w:pPr>
        <w:snapToGrid w:val="0"/>
        <w:spacing w:line="480" w:lineRule="exact"/>
        <w:ind w:firstLine="551" w:firstLineChars="196"/>
        <w:rPr>
          <w:rFonts w:ascii="仿宋_GB2312" w:hAnsi="仿宋" w:eastAsia="仿宋_GB2312"/>
          <w:b/>
          <w:sz w:val="28"/>
          <w:szCs w:val="28"/>
        </w:rPr>
      </w:pPr>
      <w:r>
        <w:rPr>
          <w:rFonts w:hint="eastAsia" w:cs="宋体"/>
          <w:b/>
          <w:bCs/>
          <w:kern w:val="0"/>
          <w:sz w:val="28"/>
          <w:szCs w:val="28"/>
        </w:rPr>
        <w:t>四、竞赛方式</w:t>
      </w:r>
    </w:p>
    <w:p>
      <w:pPr>
        <w:adjustRightInd w:val="0"/>
        <w:snapToGrid w:val="0"/>
        <w:spacing w:line="560" w:lineRule="atLeast"/>
        <w:ind w:firstLine="560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1.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本赛项为个人赛项，以学校为单位报名参赛。每校配领队</w:t>
      </w:r>
      <w:r>
        <w:rPr>
          <w:rFonts w:ascii="仿宋_GB2312" w:hAnsi="仿宋_GB2312" w:eastAsia="仿宋_GB2312" w:cs="仿宋_GB2312"/>
          <w:color w:val="000000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人，每个项目每校限报</w:t>
      </w:r>
      <w:r>
        <w:rPr>
          <w:rFonts w:ascii="仿宋_GB2312" w:hAnsi="仿宋_GB2312" w:eastAsia="仿宋_GB2312" w:cs="仿宋_GB2312"/>
          <w:color w:val="000000"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名选手，每人只能报一个项目，</w:t>
      </w:r>
      <w:r>
        <w:rPr>
          <w:rFonts w:hint="eastAsia" w:ascii="仿宋_GB2312" w:hAnsi="仿宋_GB2312" w:eastAsia="仿宋_GB2312" w:cs="仿宋_GB2312"/>
          <w:sz w:val="28"/>
          <w:szCs w:val="28"/>
        </w:rPr>
        <w:t>不得兼报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。每名参赛选手指定</w:t>
      </w:r>
      <w:r>
        <w:rPr>
          <w:rFonts w:ascii="仿宋_GB2312" w:hAnsi="仿宋_GB2312" w:eastAsia="仿宋_GB2312" w:cs="仿宋_GB2312"/>
          <w:color w:val="000000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名指导教师。</w:t>
      </w:r>
    </w:p>
    <w:p>
      <w:pPr>
        <w:adjustRightInd w:val="0"/>
        <w:snapToGrid w:val="0"/>
        <w:spacing w:line="48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</w:rPr>
        <w:t>比赛分两轮进行。全体选手参加第一轮比赛。比赛结束，按得分顺序，由高到低取选手总数的</w:t>
      </w:r>
      <w:r>
        <w:rPr>
          <w:rFonts w:ascii="仿宋_GB2312" w:hAnsi="仿宋_GB2312" w:eastAsia="仿宋_GB2312" w:cs="仿宋_GB2312"/>
          <w:sz w:val="28"/>
          <w:szCs w:val="28"/>
        </w:rPr>
        <w:t>60%</w:t>
      </w:r>
      <w:r>
        <w:rPr>
          <w:rFonts w:hint="eastAsia" w:ascii="仿宋_GB2312" w:hAnsi="仿宋_GB2312" w:eastAsia="仿宋_GB2312" w:cs="仿宋_GB2312"/>
          <w:sz w:val="28"/>
          <w:szCs w:val="28"/>
        </w:rPr>
        <w:t>进入第二轮比赛。第二轮比赛结束，按总分高低决定选手获奖等次。</w:t>
      </w:r>
    </w:p>
    <w:p>
      <w:pPr>
        <w:snapToGrid w:val="0"/>
        <w:spacing w:line="480" w:lineRule="exact"/>
        <w:ind w:firstLine="551" w:firstLineChars="196"/>
        <w:rPr>
          <w:rFonts w:cs="宋体"/>
          <w:b/>
          <w:bCs/>
          <w:kern w:val="0"/>
          <w:sz w:val="28"/>
          <w:szCs w:val="28"/>
        </w:rPr>
      </w:pPr>
      <w:r>
        <w:rPr>
          <w:rFonts w:hint="eastAsia" w:cs="宋体"/>
          <w:b/>
          <w:bCs/>
          <w:kern w:val="0"/>
          <w:sz w:val="28"/>
          <w:szCs w:val="28"/>
        </w:rPr>
        <w:t>五、竞赛流程</w:t>
      </w:r>
    </w:p>
    <w:p>
      <w:pPr>
        <w:adjustRightInd w:val="0"/>
        <w:snapToGrid w:val="0"/>
        <w:spacing w:line="48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（一）</w:t>
      </w:r>
      <w:r>
        <w:rPr>
          <w:rFonts w:hint="eastAsia" w:ascii="仿宋_GB2312" w:hAnsi="仿宋_GB2312" w:eastAsia="仿宋_GB2312" w:cs="仿宋_GB2312"/>
          <w:sz w:val="28"/>
          <w:szCs w:val="28"/>
        </w:rPr>
        <w:t>报到抽签。各代表队于指定时间到指定地点报到，进行参赛时间、顺序和分组的抽签；大赛办召开领队会议通报比赛有关情况及要求。</w:t>
      </w:r>
    </w:p>
    <w:p>
      <w:pPr>
        <w:spacing w:line="48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（二）</w:t>
      </w:r>
      <w:r>
        <w:rPr>
          <w:rFonts w:hint="eastAsia" w:ascii="仿宋_GB2312" w:hAnsi="仿宋_GB2312" w:eastAsia="仿宋_GB2312" w:cs="仿宋_GB2312"/>
          <w:sz w:val="28"/>
          <w:szCs w:val="28"/>
        </w:rPr>
        <w:t>参赛准备。参赛选手按大赛办统一安排，在指定时间到指定琴房进行赛前练习，到比赛剧场或音乐厅舞台走台。</w:t>
      </w:r>
    </w:p>
    <w:p>
      <w:pPr>
        <w:spacing w:line="480" w:lineRule="exact"/>
        <w:ind w:firstLine="420" w:firstLineChars="15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（三）</w:t>
      </w:r>
      <w:r>
        <w:rPr>
          <w:rFonts w:hint="eastAsia" w:ascii="仿宋_GB2312" w:hAnsi="仿宋_GB2312" w:eastAsia="仿宋_GB2312" w:cs="仿宋_GB2312"/>
          <w:sz w:val="28"/>
          <w:szCs w:val="28"/>
        </w:rPr>
        <w:t>正式比赛。参赛选手按抽签时间、顺序及规定流程到赛场检录、候赛、参赛。进入第二轮比赛的选手仍沿用第一轮抽签顺序，按规定流程参加比赛。</w:t>
      </w:r>
    </w:p>
    <w:p>
      <w:pPr>
        <w:adjustRightInd w:val="0"/>
        <w:snapToGrid w:val="0"/>
        <w:spacing w:line="48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决赛流程具体时间安排，待参加决赛人数确定后公布。</w:t>
      </w:r>
    </w:p>
    <w:p>
      <w:pPr>
        <w:snapToGrid w:val="0"/>
        <w:spacing w:line="480" w:lineRule="exact"/>
        <w:ind w:firstLine="551" w:firstLineChars="196"/>
        <w:rPr>
          <w:rFonts w:cs="宋体"/>
          <w:b/>
          <w:bCs/>
          <w:kern w:val="0"/>
          <w:sz w:val="28"/>
          <w:szCs w:val="28"/>
        </w:rPr>
      </w:pPr>
      <w:r>
        <w:rPr>
          <w:rFonts w:hint="eastAsia" w:cs="宋体"/>
          <w:b/>
          <w:bCs/>
          <w:kern w:val="0"/>
          <w:sz w:val="28"/>
          <w:szCs w:val="28"/>
        </w:rPr>
        <w:t>六、竞赛试题</w:t>
      </w:r>
    </w:p>
    <w:p>
      <w:pPr>
        <w:spacing w:line="480" w:lineRule="exact"/>
        <w:ind w:firstLine="420" w:firstLineChars="15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弹拨乐器演奏第二轮样题将于</w:t>
      </w:r>
      <w:r>
        <w:rPr>
          <w:rFonts w:ascii="仿宋_GB2312" w:hAnsi="仿宋_GB2312" w:eastAsia="仿宋_GB2312" w:cs="仿宋_GB2312"/>
          <w:sz w:val="28"/>
          <w:szCs w:val="28"/>
        </w:rPr>
        <w:t>201</w:t>
      </w:r>
      <w:r>
        <w:rPr>
          <w:rFonts w:hint="eastAsia" w:ascii="仿宋_GB2312" w:hAnsi="仿宋_GB2312" w:eastAsia="仿宋_GB2312" w:cs="仿宋_GB2312"/>
          <w:sz w:val="28"/>
          <w:szCs w:val="28"/>
        </w:rPr>
        <w:t>8年</w:t>
      </w:r>
      <w:r>
        <w:rPr>
          <w:rFonts w:ascii="仿宋_GB2312" w:hAnsi="仿宋_GB2312" w:eastAsia="仿宋_GB2312" w:cs="仿宋_GB2312"/>
          <w:sz w:val="28"/>
          <w:szCs w:val="28"/>
        </w:rPr>
        <w:t>9</w:t>
      </w:r>
      <w:r>
        <w:rPr>
          <w:rFonts w:hint="eastAsia" w:ascii="仿宋_GB2312" w:hAnsi="仿宋_GB2312" w:eastAsia="仿宋_GB2312" w:cs="仿宋_GB2312"/>
          <w:sz w:val="28"/>
          <w:szCs w:val="28"/>
        </w:rPr>
        <w:t>月通过沈阳职业技能大赛网公布。</w:t>
      </w:r>
    </w:p>
    <w:p>
      <w:pPr>
        <w:snapToGrid w:val="0"/>
        <w:spacing w:line="480" w:lineRule="exact"/>
        <w:ind w:firstLine="551" w:firstLineChars="196"/>
        <w:rPr>
          <w:rFonts w:cs="宋体"/>
          <w:b/>
          <w:bCs/>
          <w:kern w:val="0"/>
          <w:sz w:val="28"/>
          <w:szCs w:val="28"/>
        </w:rPr>
      </w:pPr>
      <w:r>
        <w:rPr>
          <w:rFonts w:hint="eastAsia" w:cs="宋体"/>
          <w:b/>
          <w:bCs/>
          <w:kern w:val="0"/>
          <w:sz w:val="28"/>
          <w:szCs w:val="28"/>
        </w:rPr>
        <w:t>七、竞赛规则</w:t>
      </w:r>
    </w:p>
    <w:p>
      <w:pPr>
        <w:spacing w:line="560" w:lineRule="atLeast"/>
        <w:ind w:firstLine="420" w:firstLineChars="15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（一）</w:t>
      </w:r>
      <w:r>
        <w:rPr>
          <w:rFonts w:hint="eastAsia" w:ascii="仿宋_GB2312" w:hAnsi="仿宋_GB2312" w:eastAsia="仿宋_GB2312" w:cs="仿宋_GB2312"/>
          <w:sz w:val="28"/>
          <w:szCs w:val="28"/>
        </w:rPr>
        <w:t>所有参赛选手均须为全日制正式学籍中等职业学校在校学生。五年制高职一至三年级（含三年级）学生可报名参加中职组比赛。中职组</w:t>
      </w:r>
      <w:r>
        <w:rPr>
          <w:rFonts w:hint="eastAsia" w:ascii="仿宋_GB2312" w:eastAsia="仿宋_GB2312"/>
          <w:sz w:val="28"/>
          <w:szCs w:val="28"/>
        </w:rPr>
        <w:t>年龄须不超过</w:t>
      </w:r>
      <w:r>
        <w:rPr>
          <w:rFonts w:ascii="仿宋_GB2312" w:eastAsia="仿宋_GB2312"/>
          <w:sz w:val="28"/>
          <w:szCs w:val="28"/>
        </w:rPr>
        <w:t>21</w:t>
      </w:r>
      <w:r>
        <w:rPr>
          <w:rFonts w:hint="eastAsia" w:ascii="仿宋_GB2312" w:eastAsia="仿宋_GB2312"/>
          <w:sz w:val="28"/>
          <w:szCs w:val="28"/>
        </w:rPr>
        <w:t>周岁（年龄计算截止时间为</w:t>
      </w:r>
      <w:r>
        <w:rPr>
          <w:rFonts w:ascii="仿宋_GB2312" w:eastAsia="仿宋_GB2312"/>
          <w:sz w:val="28"/>
          <w:szCs w:val="28"/>
        </w:rPr>
        <w:t>201</w:t>
      </w:r>
      <w:r>
        <w:rPr>
          <w:rFonts w:hint="eastAsia" w:ascii="仿宋_GB2312" w:eastAsia="仿宋_GB2312"/>
          <w:sz w:val="28"/>
          <w:szCs w:val="28"/>
        </w:rPr>
        <w:t>8年</w:t>
      </w:r>
      <w:r>
        <w:rPr>
          <w:rFonts w:ascii="仿宋_GB2312" w:eastAsia="仿宋_GB2312"/>
          <w:sz w:val="28"/>
          <w:szCs w:val="28"/>
        </w:rPr>
        <w:t>5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</w:rPr>
        <w:t>日）。</w:t>
      </w:r>
    </w:p>
    <w:p>
      <w:pPr>
        <w:adjustRightInd w:val="0"/>
        <w:snapToGrid w:val="0"/>
        <w:spacing w:line="560" w:lineRule="atLeast"/>
        <w:ind w:firstLine="560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(</w:t>
      </w:r>
      <w:r>
        <w:rPr>
          <w:rFonts w:hint="eastAsia" w:ascii="仿宋_GB2312" w:hAnsi="宋体" w:eastAsia="仿宋_GB2312"/>
          <w:sz w:val="28"/>
          <w:szCs w:val="28"/>
        </w:rPr>
        <w:t>二）参赛选手在报名获得审核确认后，原则上不得更换。如在准备过程中因特殊情况确需更换选手，须由所在学校主管部门出具书面说明，按相关规定更换选手并接受审核。比赛开始后，一律不得更换参赛选手，允许选手缺席比赛。</w:t>
      </w:r>
    </w:p>
    <w:p>
      <w:pPr>
        <w:adjustRightInd w:val="0"/>
        <w:snapToGrid w:val="0"/>
        <w:spacing w:line="480" w:lineRule="exact"/>
        <w:ind w:firstLine="560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（三）参赛选手具体比赛时间、顺序由抽签决定。选手须持本人身份证、学生证及统一签发的参赛证参加比赛；须提前在规定时间内到达赛区现场检录；迟到超过</w:t>
      </w:r>
      <w:r>
        <w:rPr>
          <w:rFonts w:ascii="仿宋_GB2312" w:hAnsi="宋体" w:eastAsia="仿宋_GB2312"/>
          <w:sz w:val="28"/>
          <w:szCs w:val="28"/>
        </w:rPr>
        <w:t>15</w:t>
      </w:r>
      <w:r>
        <w:rPr>
          <w:rFonts w:hint="eastAsia" w:ascii="仿宋_GB2312" w:hAnsi="宋体" w:eastAsia="仿宋_GB2312"/>
          <w:sz w:val="28"/>
          <w:szCs w:val="28"/>
        </w:rPr>
        <w:t>分钟的选手，视作弃权，不得入场比赛。</w:t>
      </w:r>
    </w:p>
    <w:p>
      <w:pPr>
        <w:adjustRightInd w:val="0"/>
        <w:snapToGrid w:val="0"/>
        <w:spacing w:line="48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</w:rPr>
        <w:t>乐器由选手自行准备。</w:t>
      </w:r>
    </w:p>
    <w:p>
      <w:pPr>
        <w:adjustRightInd w:val="0"/>
        <w:snapToGrid w:val="0"/>
        <w:spacing w:line="48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</w:rPr>
        <w:t>乐曲演奏须背谱演奏，可以自带伴奏，伴奏限1人。伴奏乐器钢琴统一提供，其它乐器自备。</w:t>
      </w:r>
    </w:p>
    <w:p>
      <w:pPr>
        <w:adjustRightInd w:val="0"/>
        <w:snapToGrid w:val="0"/>
        <w:spacing w:line="48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</w:t>
      </w:r>
      <w:r>
        <w:rPr>
          <w:rFonts w:ascii="仿宋_GB2312" w:hAnsi="仿宋_GB2312" w:eastAsia="仿宋_GB2312" w:cs="仿宋_GB2312"/>
          <w:sz w:val="28"/>
          <w:szCs w:val="28"/>
        </w:rPr>
        <w:t>视奏准备完毕，正式视奏开始后须连续进行1遍完成，如中途出错停下不得反复，只能继续往下视奏。</w:t>
      </w:r>
    </w:p>
    <w:p>
      <w:pPr>
        <w:adjustRightInd w:val="0"/>
        <w:snapToGrid w:val="0"/>
        <w:spacing w:line="48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</w:t>
      </w:r>
      <w:r>
        <w:rPr>
          <w:rFonts w:ascii="仿宋_GB2312" w:hAnsi="仿宋_GB2312" w:eastAsia="仿宋_GB2312" w:cs="仿宋_GB2312"/>
          <w:sz w:val="28"/>
          <w:szCs w:val="28"/>
        </w:rPr>
        <w:t xml:space="preserve">. </w:t>
      </w:r>
      <w:r>
        <w:rPr>
          <w:rFonts w:hint="eastAsia" w:ascii="仿宋_GB2312" w:hAnsi="仿宋_GB2312" w:eastAsia="仿宋_GB2312" w:cs="仿宋_GB2312"/>
          <w:sz w:val="28"/>
          <w:szCs w:val="28"/>
        </w:rPr>
        <w:t>视唱题为五线谱，选手抽完题，在规定时间内看完谱，由钢琴老师给标准音后，选手须连续1遍完成，如中途出错停下不得反复，只能继续往下唱。</w:t>
      </w:r>
    </w:p>
    <w:p>
      <w:pPr>
        <w:adjustRightInd w:val="0"/>
        <w:snapToGrid w:val="0"/>
        <w:spacing w:line="48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5.乐理知识题选手须在规定时间内回答问题，如超时将不计分数。</w:t>
      </w:r>
    </w:p>
    <w:p>
      <w:pPr>
        <w:adjustRightInd w:val="0"/>
        <w:snapToGrid w:val="0"/>
        <w:spacing w:line="48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6.第二轮的视奏乐器（古筝）由承办方准备。</w:t>
      </w:r>
    </w:p>
    <w:p>
      <w:pPr>
        <w:spacing w:line="48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7</w:t>
      </w:r>
      <w:r>
        <w:rPr>
          <w:rFonts w:ascii="仿宋_GB2312" w:hAnsi="仿宋_GB2312" w:eastAsia="仿宋_GB2312" w:cs="仿宋_GB2312"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比赛、练习等所有场地及相关设备器材由大赛办统一安排</w:t>
      </w:r>
    </w:p>
    <w:p>
      <w:pPr>
        <w:adjustRightInd w:val="0"/>
        <w:snapToGrid w:val="0"/>
        <w:spacing w:line="560" w:lineRule="atLeast"/>
        <w:ind w:firstLine="280" w:firstLineChars="1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（四）所有比赛项目均须在规定时间内完成，超时、缺项将扣分。</w:t>
      </w:r>
    </w:p>
    <w:p>
      <w:pPr>
        <w:spacing w:line="480" w:lineRule="exact"/>
        <w:ind w:firstLine="413" w:firstLineChars="147"/>
        <w:rPr>
          <w:rFonts w:ascii="仿宋_GB2312" w:eastAsia="仿宋_GB2312"/>
          <w:b/>
          <w:bCs/>
          <w:kern w:val="0"/>
          <w:sz w:val="28"/>
          <w:szCs w:val="28"/>
        </w:rPr>
      </w:pPr>
    </w:p>
    <w:p>
      <w:pPr>
        <w:spacing w:line="480" w:lineRule="exact"/>
        <w:ind w:firstLine="413" w:firstLineChars="147"/>
        <w:rPr>
          <w:rFonts w:ascii="仿宋_GB2312" w:eastAsia="仿宋_GB2312"/>
          <w:b/>
          <w:bCs/>
          <w:kern w:val="0"/>
          <w:sz w:val="28"/>
          <w:szCs w:val="28"/>
        </w:rPr>
      </w:pPr>
      <w:r>
        <w:rPr>
          <w:rFonts w:hint="eastAsia" w:ascii="仿宋_GB2312" w:eastAsia="仿宋_GB2312"/>
          <w:b/>
          <w:bCs/>
          <w:kern w:val="0"/>
          <w:sz w:val="28"/>
          <w:szCs w:val="28"/>
        </w:rPr>
        <w:t>八、竞赛环境</w:t>
      </w:r>
    </w:p>
    <w:p>
      <w:pPr>
        <w:spacing w:line="480" w:lineRule="exact"/>
        <w:ind w:firstLine="570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弹拨乐器演奏第一轮和第二轮专比赛均在音乐厅举行。</w:t>
      </w:r>
    </w:p>
    <w:p>
      <w:pPr>
        <w:pStyle w:val="3"/>
        <w:spacing w:line="560" w:lineRule="atLeast"/>
        <w:ind w:firstLine="560" w:firstLineChars="200"/>
        <w:jc w:val="both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比赛场地均配有相应的设施设备，</w:t>
      </w:r>
      <w:r>
        <w:rPr>
          <w:rFonts w:hint="eastAsia" w:ascii="仿宋_GB2312" w:eastAsia="仿宋_GB2312"/>
          <w:sz w:val="28"/>
          <w:szCs w:val="28"/>
        </w:rPr>
        <w:t>采光、照明、通风和控温良好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。</w:t>
      </w:r>
      <w:r>
        <w:rPr>
          <w:rFonts w:hint="eastAsia" w:ascii="仿宋_GB2312" w:eastAsia="仿宋_GB2312"/>
          <w:sz w:val="28"/>
          <w:szCs w:val="28"/>
        </w:rPr>
        <w:t>赛场有保安、消防、设备维修和电力抢险等人员待命，并设置安全应急通道，以防突发事件。赛场配备医疗、生活补给等服务站点，为选手和工作人员提供服务。</w:t>
      </w:r>
    </w:p>
    <w:p>
      <w:pPr>
        <w:pStyle w:val="3"/>
        <w:spacing w:line="560" w:lineRule="atLeast"/>
        <w:ind w:firstLine="560" w:firstLineChars="200"/>
        <w:jc w:val="both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比赛场地划分为检录区、比赛操作区、评委区、观摩区、设备区、休息区、观摩通道等区域，区域之间有明显标志或警示带。</w:t>
      </w:r>
    </w:p>
    <w:p>
      <w:pPr>
        <w:pStyle w:val="2"/>
        <w:keepNext w:val="0"/>
        <w:keepLines w:val="0"/>
        <w:adjustRightInd w:val="0"/>
        <w:snapToGrid w:val="0"/>
        <w:spacing w:before="0" w:after="0" w:line="480" w:lineRule="exact"/>
        <w:ind w:firstLine="562" w:firstLineChars="200"/>
        <w:jc w:val="left"/>
        <w:rPr>
          <w:rFonts w:ascii="仿宋_GB2312" w:hAnsi="仿宋" w:eastAsia="仿宋_GB2312" w:cs="宋体"/>
          <w:bCs w:val="0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bCs w:val="0"/>
          <w:kern w:val="0"/>
          <w:sz w:val="28"/>
          <w:szCs w:val="28"/>
        </w:rPr>
        <w:t>九、技术规范</w:t>
      </w:r>
    </w:p>
    <w:p>
      <w:pPr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（一）演奏曲目在赛前按大赛办指定时间上传至指定邮箱。</w:t>
      </w:r>
      <w:r>
        <w:rPr>
          <w:rFonts w:ascii="仿宋_GB2312" w:hAnsi="宋体" w:eastAsia="仿宋_GB2312" w:cs="宋体"/>
          <w:kern w:val="0"/>
          <w:sz w:val="28"/>
          <w:szCs w:val="28"/>
        </w:rPr>
        <w:br w:type="textWrapping"/>
      </w:r>
      <w:r>
        <w:rPr>
          <w:rFonts w:ascii="宋体" w:hAnsi="宋体" w:eastAsia="仿宋_GB2312" w:cs="宋体"/>
          <w:kern w:val="0"/>
          <w:sz w:val="28"/>
          <w:szCs w:val="28"/>
        </w:rPr>
        <w:t> 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（二）比赛时选手要着专业舞台演出服装或礼服。</w:t>
      </w:r>
      <w:r>
        <w:rPr>
          <w:rFonts w:ascii="宋体" w:hAnsi="宋体" w:eastAsia="仿宋_GB2312" w:cs="宋体"/>
          <w:kern w:val="0"/>
          <w:sz w:val="28"/>
          <w:szCs w:val="28"/>
        </w:rPr>
        <w:t>    </w:t>
      </w:r>
      <w:r>
        <w:rPr>
          <w:rFonts w:ascii="仿宋_GB2312" w:hAnsi="宋体" w:eastAsia="仿宋_GB2312" w:cs="宋体"/>
          <w:kern w:val="0"/>
          <w:sz w:val="28"/>
          <w:szCs w:val="28"/>
        </w:rPr>
        <w:br w:type="textWrapping"/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（三）比赛用舞台装置、灯光和音响设备由大赛办统一提供。</w:t>
      </w:r>
      <w:r>
        <w:rPr>
          <w:rFonts w:ascii="仿宋_GB2312" w:hAnsi="宋体" w:eastAsia="仿宋_GB2312" w:cs="宋体"/>
          <w:kern w:val="0"/>
          <w:sz w:val="28"/>
          <w:szCs w:val="28"/>
        </w:rPr>
        <w:br w:type="textWrapping"/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（四）剧目灯光为基本光，可变色，有定点，有追光。</w:t>
      </w:r>
    </w:p>
    <w:p>
      <w:pPr>
        <w:spacing w:line="480" w:lineRule="exact"/>
        <w:ind w:firstLine="700" w:firstLineChars="250"/>
        <w:rPr>
          <w:rFonts w:ascii="仿宋_GB2312" w:hAnsi="仿宋" w:eastAsia="仿宋_GB2312"/>
          <w:sz w:val="28"/>
          <w:szCs w:val="28"/>
        </w:rPr>
      </w:pPr>
    </w:p>
    <w:p>
      <w:pPr>
        <w:pStyle w:val="2"/>
        <w:keepNext w:val="0"/>
        <w:keepLines w:val="0"/>
        <w:adjustRightInd w:val="0"/>
        <w:snapToGrid w:val="0"/>
        <w:spacing w:before="0" w:after="0" w:line="480" w:lineRule="exact"/>
        <w:ind w:firstLine="562" w:firstLineChars="200"/>
        <w:jc w:val="left"/>
        <w:rPr>
          <w:rFonts w:ascii="仿宋_GB2312" w:hAnsi="仿宋" w:eastAsia="仿宋_GB2312" w:cs="宋体"/>
          <w:bCs w:val="0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bCs w:val="0"/>
          <w:kern w:val="0"/>
          <w:sz w:val="28"/>
          <w:szCs w:val="28"/>
        </w:rPr>
        <w:t>十、技术平台</w:t>
      </w:r>
    </w:p>
    <w:p>
      <w:pPr>
        <w:adjustRightInd w:val="0"/>
        <w:snapToGrid w:val="0"/>
        <w:spacing w:line="48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</w:rPr>
        <w:t>具有反音板、吸音装置的音乐厅</w:t>
      </w:r>
      <w:r>
        <w:rPr>
          <w:rFonts w:ascii="仿宋_GB2312" w:hAnsi="仿宋_GB2312" w:eastAsia="仿宋_GB2312" w:cs="仿宋_GB2312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个。</w:t>
      </w:r>
    </w:p>
    <w:p>
      <w:pPr>
        <w:adjustRightInd w:val="0"/>
        <w:snapToGrid w:val="0"/>
        <w:spacing w:line="48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</w:rPr>
        <w:t>配备常规舞台灯光系统；钢琴</w:t>
      </w:r>
      <w:r>
        <w:rPr>
          <w:rFonts w:ascii="仿宋_GB2312" w:hAnsi="仿宋_GB2312" w:eastAsia="仿宋_GB2312" w:cs="仿宋_GB2312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架。</w:t>
      </w:r>
    </w:p>
    <w:p>
      <w:pPr>
        <w:adjustRightInd w:val="0"/>
        <w:snapToGrid w:val="0"/>
        <w:spacing w:line="48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3.</w:t>
      </w:r>
      <w:r>
        <w:rPr>
          <w:rFonts w:hint="eastAsia" w:ascii="仿宋_GB2312" w:hAnsi="仿宋_GB2312" w:eastAsia="仿宋_GB2312" w:cs="仿宋_GB2312"/>
          <w:sz w:val="28"/>
          <w:szCs w:val="28"/>
        </w:rPr>
        <w:t>音乐琴房</w:t>
      </w:r>
      <w:r>
        <w:rPr>
          <w:rFonts w:ascii="仿宋_GB2312" w:hAnsi="仿宋_GB2312" w:eastAsia="仿宋_GB2312" w:cs="仿宋_GB2312"/>
          <w:sz w:val="28"/>
          <w:szCs w:val="28"/>
        </w:rPr>
        <w:t>20</w:t>
      </w:r>
      <w:r>
        <w:rPr>
          <w:rFonts w:hint="eastAsia" w:ascii="仿宋_GB2312" w:hAnsi="仿宋_GB2312" w:eastAsia="仿宋_GB2312" w:cs="仿宋_GB2312"/>
          <w:sz w:val="28"/>
          <w:szCs w:val="28"/>
        </w:rPr>
        <w:t>间。均配备钢琴、谱架等设备，供选手赛前练琴使用。</w:t>
      </w:r>
    </w:p>
    <w:p>
      <w:pPr>
        <w:pStyle w:val="2"/>
        <w:keepNext w:val="0"/>
        <w:keepLines w:val="0"/>
        <w:adjustRightInd w:val="0"/>
        <w:snapToGrid w:val="0"/>
        <w:spacing w:before="0" w:after="0" w:line="480" w:lineRule="exact"/>
        <w:ind w:firstLine="557" w:firstLineChars="198"/>
        <w:jc w:val="left"/>
        <w:rPr>
          <w:rFonts w:ascii="仿宋_GB2312" w:hAnsi="仿宋" w:eastAsia="仿宋_GB2312" w:cs="宋体"/>
          <w:bCs w:val="0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bCs w:val="0"/>
          <w:kern w:val="0"/>
          <w:sz w:val="28"/>
          <w:szCs w:val="28"/>
        </w:rPr>
        <w:t>十一、成绩评定</w:t>
      </w:r>
    </w:p>
    <w:p>
      <w:pPr>
        <w:adjustRightInd w:val="0"/>
        <w:snapToGrid w:val="0"/>
        <w:spacing w:line="560" w:lineRule="atLeast"/>
        <w:ind w:firstLine="560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（一）评分标准</w:t>
      </w:r>
    </w:p>
    <w:p>
      <w:pPr>
        <w:adjustRightInd w:val="0"/>
        <w:snapToGrid w:val="0"/>
        <w:spacing w:line="560" w:lineRule="atLeast"/>
        <w:ind w:firstLine="560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1.</w:t>
      </w:r>
      <w:r>
        <w:rPr>
          <w:rFonts w:hint="eastAsia" w:ascii="仿宋_GB2312" w:hAnsi="宋体" w:eastAsia="仿宋_GB2312"/>
          <w:sz w:val="28"/>
          <w:szCs w:val="28"/>
        </w:rPr>
        <w:t>弹拨乐器演奏依据选手的专业素质、技术技巧、对作品的艺术表现能力和水平、以及作品的难度等因素，确定标准，综合评分。</w:t>
      </w:r>
    </w:p>
    <w:p>
      <w:pPr>
        <w:adjustRightInd w:val="0"/>
        <w:snapToGrid w:val="0"/>
        <w:spacing w:line="560" w:lineRule="atLeas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2.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专业拓展能力（视奏、视唱）考察，</w:t>
      </w:r>
      <w:r>
        <w:rPr>
          <w:rFonts w:hint="eastAsia" w:ascii="仿宋_GB2312" w:hAnsi="仿宋_GB2312" w:eastAsia="仿宋_GB2312" w:cs="仿宋_GB2312"/>
          <w:sz w:val="28"/>
          <w:szCs w:val="28"/>
        </w:rPr>
        <w:t>依据选手音准、节奏的质量的准确率，确定标准，综合评分。</w:t>
      </w:r>
    </w:p>
    <w:p>
      <w:pPr>
        <w:adjustRightInd w:val="0"/>
        <w:snapToGrid w:val="0"/>
        <w:spacing w:line="560" w:lineRule="atLeast"/>
        <w:ind w:firstLine="560" w:firstLineChars="200"/>
        <w:jc w:val="left"/>
        <w:rPr>
          <w:rFonts w:ascii="仿宋_GB2312" w:hAnsi="Arial" w:eastAsia="仿宋_GB2312" w:cs="Arial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3.</w:t>
      </w:r>
      <w:r>
        <w:rPr>
          <w:rFonts w:hint="eastAsia" w:ascii="仿宋_GB2312" w:hAnsi="仿宋_GB2312" w:eastAsia="仿宋_GB2312" w:cs="仿宋_GB2312"/>
          <w:sz w:val="28"/>
          <w:szCs w:val="28"/>
        </w:rPr>
        <w:t>第一轮比赛分值权重为80</w:t>
      </w:r>
      <w:r>
        <w:rPr>
          <w:rFonts w:hint="eastAsia" w:ascii="仿宋_GB2312" w:hAnsi="Arial" w:eastAsia="仿宋_GB2312" w:cs="Arial"/>
          <w:sz w:val="28"/>
          <w:szCs w:val="28"/>
        </w:rPr>
        <w:t>％，第二轮比赛分值权重为2</w:t>
      </w:r>
      <w:r>
        <w:rPr>
          <w:rFonts w:ascii="仿宋_GB2312" w:hAnsi="仿宋_GB2312" w:eastAsia="仿宋_GB2312" w:cs="仿宋_GB2312"/>
          <w:sz w:val="28"/>
          <w:szCs w:val="28"/>
        </w:rPr>
        <w:t>0</w:t>
      </w:r>
      <w:r>
        <w:rPr>
          <w:rFonts w:hint="eastAsia" w:ascii="仿宋_GB2312" w:hAnsi="Arial" w:eastAsia="仿宋_GB2312" w:cs="Arial"/>
          <w:sz w:val="28"/>
          <w:szCs w:val="28"/>
        </w:rPr>
        <w:t>％。</w:t>
      </w:r>
    </w:p>
    <w:p>
      <w:pPr>
        <w:spacing w:line="560" w:lineRule="atLeast"/>
        <w:ind w:left="1" w:firstLine="560" w:firstLineChars="200"/>
        <w:jc w:val="left"/>
        <w:rPr>
          <w:rFonts w:ascii="仿宋_GB2312" w:hAnsi="Arial" w:eastAsia="仿宋_GB2312" w:cs="Arial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（二）评分方法</w:t>
      </w:r>
    </w:p>
    <w:p>
      <w:pPr>
        <w:adjustRightInd w:val="0"/>
        <w:snapToGrid w:val="0"/>
        <w:spacing w:line="560" w:lineRule="atLeast"/>
        <w:ind w:firstLine="560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1.</w:t>
      </w:r>
      <w:r>
        <w:rPr>
          <w:rFonts w:hint="eastAsia" w:ascii="仿宋_GB2312" w:hAnsi="宋体" w:eastAsia="仿宋_GB2312"/>
          <w:sz w:val="28"/>
          <w:szCs w:val="28"/>
        </w:rPr>
        <w:t>比赛评分遵循科学合理、切实严谨、公平公正的原则，既全面衡量，又突出重点；既重视基础水平和质量，又重视综合表现、应用；专业性与职业性相结合。</w:t>
      </w:r>
    </w:p>
    <w:p>
      <w:pPr>
        <w:adjustRightInd w:val="0"/>
        <w:snapToGrid w:val="0"/>
        <w:spacing w:line="560" w:lineRule="atLeast"/>
        <w:ind w:firstLine="560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2.</w:t>
      </w:r>
      <w:r>
        <w:rPr>
          <w:rFonts w:hint="eastAsia" w:ascii="仿宋_GB2312" w:hAnsi="宋体" w:eastAsia="仿宋_GB2312"/>
          <w:sz w:val="28"/>
          <w:szCs w:val="28"/>
        </w:rPr>
        <w:t>评分采取由评审委员会当场集体评分的方法。每位评委独立评分；由专门人员在统一时间收取评分表；计算得出其它分数的平均分，即为选手的比赛得分。</w:t>
      </w:r>
    </w:p>
    <w:p>
      <w:pPr>
        <w:spacing w:line="480" w:lineRule="exact"/>
        <w:ind w:firstLine="560" w:firstLineChars="200"/>
      </w:pPr>
      <w:r>
        <w:rPr>
          <w:rFonts w:ascii="仿宋_GB2312" w:hAnsi="宋体" w:eastAsia="仿宋_GB2312"/>
          <w:sz w:val="28"/>
          <w:szCs w:val="28"/>
        </w:rPr>
        <w:t>3.</w:t>
      </w:r>
      <w:r>
        <w:rPr>
          <w:rFonts w:hint="eastAsia" w:ascii="仿宋_GB2312" w:hAnsi="宋体" w:eastAsia="仿宋_GB2312"/>
          <w:sz w:val="28"/>
          <w:szCs w:val="28"/>
        </w:rPr>
        <w:t>分数采用百分制。每项比赛内容满分均为</w:t>
      </w:r>
      <w:r>
        <w:rPr>
          <w:rFonts w:ascii="仿宋_GB2312" w:hAnsi="宋体" w:eastAsia="仿宋_GB2312"/>
          <w:sz w:val="28"/>
          <w:szCs w:val="28"/>
        </w:rPr>
        <w:t>100</w:t>
      </w:r>
      <w:r>
        <w:rPr>
          <w:rFonts w:hint="eastAsia" w:ascii="仿宋_GB2312" w:hAnsi="宋体" w:eastAsia="仿宋_GB2312"/>
          <w:sz w:val="28"/>
          <w:szCs w:val="28"/>
        </w:rPr>
        <w:t>分。参赛选手的最后总得分，由每项比赛得分计算后相加而成。</w:t>
      </w:r>
    </w:p>
    <w:p/>
    <w:p>
      <w:pPr>
        <w:pStyle w:val="2"/>
        <w:keepNext w:val="0"/>
        <w:keepLines w:val="0"/>
        <w:adjustRightInd w:val="0"/>
        <w:snapToGrid w:val="0"/>
        <w:spacing w:before="0" w:after="0" w:line="480" w:lineRule="exact"/>
        <w:ind w:firstLine="422" w:firstLineChars="150"/>
        <w:jc w:val="left"/>
        <w:rPr>
          <w:rFonts w:ascii="仿宋_GB2312" w:hAnsi="仿宋" w:eastAsia="仿宋_GB2312" w:cs="宋体"/>
          <w:bCs w:val="0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bCs w:val="0"/>
          <w:kern w:val="0"/>
          <w:sz w:val="28"/>
          <w:szCs w:val="28"/>
        </w:rPr>
        <w:t>十二、奖项设定</w:t>
      </w:r>
    </w:p>
    <w:p>
      <w:pPr>
        <w:adjustRightInd w:val="0"/>
        <w:snapToGrid w:val="0"/>
        <w:spacing w:line="48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参赛选手个人奖，设一、二、三等奖。以相应分赛项参赛选手总数为基数，一等奖占比</w:t>
      </w:r>
      <w:r>
        <w:rPr>
          <w:rFonts w:ascii="仿宋_GB2312" w:hAnsi="仿宋_GB2312" w:eastAsia="仿宋_GB2312" w:cs="仿宋_GB2312"/>
          <w:sz w:val="28"/>
          <w:szCs w:val="28"/>
        </w:rPr>
        <w:t>10%</w:t>
      </w:r>
      <w:r>
        <w:rPr>
          <w:rFonts w:hint="eastAsia" w:ascii="仿宋_GB2312" w:hAnsi="仿宋_GB2312" w:eastAsia="仿宋_GB2312" w:cs="仿宋_GB2312"/>
          <w:sz w:val="28"/>
          <w:szCs w:val="28"/>
        </w:rPr>
        <w:t>，二等奖占比</w:t>
      </w:r>
      <w:r>
        <w:rPr>
          <w:rFonts w:ascii="仿宋_GB2312" w:hAnsi="仿宋_GB2312" w:eastAsia="仿宋_GB2312" w:cs="仿宋_GB2312"/>
          <w:sz w:val="28"/>
          <w:szCs w:val="28"/>
        </w:rPr>
        <w:t>20%</w:t>
      </w:r>
      <w:r>
        <w:rPr>
          <w:rFonts w:hint="eastAsia" w:ascii="仿宋_GB2312" w:hAnsi="仿宋_GB2312" w:eastAsia="仿宋_GB2312" w:cs="仿宋_GB2312"/>
          <w:sz w:val="28"/>
          <w:szCs w:val="28"/>
        </w:rPr>
        <w:t>，三等奖占比</w:t>
      </w:r>
      <w:r>
        <w:rPr>
          <w:rFonts w:ascii="仿宋_GB2312" w:hAnsi="仿宋_GB2312" w:eastAsia="仿宋_GB2312" w:cs="仿宋_GB2312"/>
          <w:sz w:val="28"/>
          <w:szCs w:val="28"/>
        </w:rPr>
        <w:t>30%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pStyle w:val="2"/>
        <w:keepNext w:val="0"/>
        <w:keepLines w:val="0"/>
        <w:adjustRightInd w:val="0"/>
        <w:snapToGrid w:val="0"/>
        <w:spacing w:before="0" w:after="0" w:line="480" w:lineRule="exact"/>
        <w:ind w:firstLine="562" w:firstLineChars="200"/>
        <w:jc w:val="left"/>
        <w:rPr>
          <w:rFonts w:ascii="仿宋_GB2312" w:hAnsi="仿宋" w:eastAsia="仿宋_GB2312" w:cs="宋体"/>
          <w:bCs w:val="0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bCs w:val="0"/>
          <w:kern w:val="0"/>
          <w:sz w:val="28"/>
          <w:szCs w:val="28"/>
        </w:rPr>
        <w:t>十三、赛项安全</w:t>
      </w:r>
    </w:p>
    <w:p>
      <w:pPr>
        <w:spacing w:line="560" w:lineRule="atLeast"/>
        <w:ind w:firstLine="57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赛事安全是技能竞赛一切工作顺利开展的先决条件，是赛事筹备和运行工作必须考虑的核心问题。大赛办采取切实有效措施保证大赛期间参赛选手、指导教师、裁判员、工作人员及观众的人身安全。</w:t>
      </w:r>
    </w:p>
    <w:p>
      <w:pPr>
        <w:spacing w:line="560" w:lineRule="atLeast"/>
        <w:ind w:firstLine="57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（一）比赛环境</w:t>
      </w:r>
    </w:p>
    <w:p>
      <w:pPr>
        <w:spacing w:line="560" w:lineRule="atLeast"/>
        <w:ind w:firstLine="570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1.</w:t>
      </w:r>
      <w:r>
        <w:rPr>
          <w:rFonts w:hint="eastAsia" w:ascii="仿宋_GB2312" w:hAnsi="宋体" w:eastAsia="仿宋_GB2312"/>
          <w:sz w:val="28"/>
          <w:szCs w:val="28"/>
        </w:rPr>
        <w:t>大赛办须在赛前组织专人对比赛现场、住宿场所和交通保障进行考察，并对安全工作提出明确要求。赛场的布置，赛场内的器材、设备，应符合国家有关安全规定。如有必要，也可进行赛场仿真模拟测试，以发现可能出现的问题。承办单位赛前须按照大赛办要求排除安全隐患。</w:t>
      </w:r>
    </w:p>
    <w:p>
      <w:pPr>
        <w:spacing w:line="560" w:lineRule="atLeast"/>
        <w:ind w:firstLine="570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2.</w:t>
      </w:r>
      <w:r>
        <w:rPr>
          <w:rFonts w:hint="eastAsia" w:ascii="仿宋_GB2312" w:hAnsi="宋体" w:eastAsia="仿宋_GB2312"/>
          <w:sz w:val="28"/>
          <w:szCs w:val="28"/>
        </w:rPr>
        <w:t>赛场周围要设立警戒线，要求所有参赛人员必须凭大赛办印发的有效证件进入场地，防止无关人员进入发生意外事件。比赛现场内应参照相关职业岗位的要求为选手提供必要的劳动保护。在具有危险性的操作环节，裁判员要严防选手出现错误操作。</w:t>
      </w:r>
    </w:p>
    <w:p>
      <w:pPr>
        <w:spacing w:line="560" w:lineRule="atLeast"/>
        <w:ind w:firstLine="570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3.</w:t>
      </w:r>
      <w:r>
        <w:rPr>
          <w:rFonts w:hint="eastAsia" w:ascii="仿宋_GB2312" w:hAnsi="宋体" w:eastAsia="仿宋_GB2312"/>
          <w:sz w:val="28"/>
          <w:szCs w:val="28"/>
        </w:rPr>
        <w:t>承办单位应提供保证应急预案实施的条件。对于比赛内容涉及高空作业、可能有坠物、大用电量、易发生火灾等情况的赛项，必须明确制度和预案，并配备急救人员与设施。</w:t>
      </w:r>
    </w:p>
    <w:p>
      <w:pPr>
        <w:spacing w:line="560" w:lineRule="atLeast"/>
        <w:ind w:firstLine="570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4.</w:t>
      </w:r>
      <w:r>
        <w:rPr>
          <w:rFonts w:hint="eastAsia" w:ascii="仿宋_GB2312" w:hAnsi="宋体" w:eastAsia="仿宋_GB2312"/>
          <w:sz w:val="28"/>
          <w:szCs w:val="28"/>
        </w:rPr>
        <w:t>严格控制与参赛无关的易燃易爆以及各类危险品进入比赛场地，不许随便携带书包进入赛场。</w:t>
      </w:r>
    </w:p>
    <w:p>
      <w:pPr>
        <w:spacing w:line="560" w:lineRule="atLeast"/>
        <w:ind w:firstLine="570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5.</w:t>
      </w:r>
      <w:r>
        <w:rPr>
          <w:rFonts w:hint="eastAsia" w:ascii="仿宋_GB2312" w:hAnsi="宋体" w:eastAsia="仿宋_GB2312"/>
          <w:sz w:val="28"/>
          <w:szCs w:val="28"/>
        </w:rPr>
        <w:t>配备先进的仪器，防止有人利用电磁波干扰比赛秩序。大赛现场需对赛场进行网络安全控制，以免场内外信息交互，充分体现大赛的严肃、公平和公正性。</w:t>
      </w:r>
    </w:p>
    <w:p>
      <w:pPr>
        <w:spacing w:line="560" w:lineRule="atLeast"/>
        <w:ind w:firstLine="570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6.</w:t>
      </w:r>
      <w:r>
        <w:rPr>
          <w:rFonts w:hint="eastAsia" w:ascii="仿宋_GB2312" w:hAnsi="宋体" w:eastAsia="仿宋_GB2312"/>
          <w:sz w:val="28"/>
          <w:szCs w:val="28"/>
        </w:rPr>
        <w:t>大赛办须会同承办单位制定开放赛场和体验区的人员疏导方案。赛场环境中存在人员密集、车流人流交错的区域，除了设置齐全的指示标志外，须增加引导人员，并开辟备用通道。</w:t>
      </w:r>
    </w:p>
    <w:p>
      <w:pPr>
        <w:spacing w:line="560" w:lineRule="atLeast"/>
        <w:ind w:firstLine="570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7.</w:t>
      </w:r>
      <w:r>
        <w:rPr>
          <w:rFonts w:hint="eastAsia" w:ascii="仿宋_GB2312" w:hAnsi="宋体" w:eastAsia="仿宋_GB2312"/>
          <w:sz w:val="28"/>
          <w:szCs w:val="28"/>
        </w:rPr>
        <w:t>大赛期间，承办单位须在赛场管理的关键岗位，增加力量，建立安全管理日志。</w:t>
      </w:r>
    </w:p>
    <w:p>
      <w:pPr>
        <w:spacing w:line="560" w:lineRule="atLeast"/>
        <w:ind w:firstLine="57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（二）生活条件</w:t>
      </w:r>
    </w:p>
    <w:p>
      <w:pPr>
        <w:spacing w:line="560" w:lineRule="atLeast"/>
        <w:ind w:firstLine="570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1.</w:t>
      </w:r>
      <w:r>
        <w:rPr>
          <w:rFonts w:hint="eastAsia" w:ascii="仿宋_GB2312" w:hAnsi="宋体" w:eastAsia="仿宋_GB2312"/>
          <w:sz w:val="28"/>
          <w:szCs w:val="28"/>
        </w:rPr>
        <w:t>比赛期间，原则上由大赛办统一安排参赛选手和指导教师食宿。承办单位须尊重少数民族的信仰及文化，根据国家相关的民族政策，安排好少数民族选手和教师的饮食起居。</w:t>
      </w:r>
    </w:p>
    <w:p>
      <w:pPr>
        <w:spacing w:line="560" w:lineRule="atLeast"/>
        <w:ind w:firstLine="565" w:firstLineChars="202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2.</w:t>
      </w:r>
      <w:r>
        <w:rPr>
          <w:rFonts w:hint="eastAsia" w:ascii="仿宋_GB2312" w:hAnsi="宋体" w:eastAsia="仿宋_GB2312"/>
          <w:sz w:val="28"/>
          <w:szCs w:val="28"/>
        </w:rPr>
        <w:t>比赛期间安排的住宿地应具有宾馆</w:t>
      </w:r>
      <w:r>
        <w:rPr>
          <w:rFonts w:ascii="仿宋_GB2312" w:hAnsi="宋体" w:eastAsia="仿宋_GB2312"/>
          <w:sz w:val="28"/>
          <w:szCs w:val="28"/>
        </w:rPr>
        <w:t>/</w:t>
      </w:r>
      <w:r>
        <w:rPr>
          <w:rFonts w:hint="eastAsia" w:ascii="仿宋_GB2312" w:hAnsi="宋体" w:eastAsia="仿宋_GB2312"/>
          <w:sz w:val="28"/>
          <w:szCs w:val="28"/>
        </w:rPr>
        <w:t>住宿经营许可资质。以学校宿舍作为住宿地的，大赛期间的住宿、卫生、饮食安全等由大赛办和提供宿舍的学校共同负责。</w:t>
      </w:r>
    </w:p>
    <w:p>
      <w:pPr>
        <w:spacing w:line="560" w:lineRule="atLeast"/>
        <w:ind w:firstLine="708" w:firstLineChars="253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3.</w:t>
      </w:r>
      <w:r>
        <w:rPr>
          <w:rFonts w:hint="eastAsia" w:ascii="仿宋_GB2312" w:hAnsi="宋体" w:eastAsia="仿宋_GB2312"/>
          <w:sz w:val="28"/>
          <w:szCs w:val="28"/>
        </w:rPr>
        <w:t>大赛期间有组织的参观和观摩活动的交通安全由大赛办负责。大赛办和承办单位须保证比赛期间选手、指导教师和裁判员、工作人员的交通安全。</w:t>
      </w:r>
    </w:p>
    <w:p>
      <w:pPr>
        <w:spacing w:line="560" w:lineRule="atLeast"/>
        <w:ind w:firstLine="708" w:firstLineChars="253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4.</w:t>
      </w:r>
      <w:r>
        <w:rPr>
          <w:rFonts w:hint="eastAsia" w:ascii="仿宋_GB2312" w:hAnsi="宋体" w:eastAsia="仿宋_GB2312"/>
          <w:sz w:val="28"/>
          <w:szCs w:val="28"/>
        </w:rPr>
        <w:t>各赛项的安全管理，除了可以采取必要的安全隔离措施外，应严格遵守国家相关法律法规，保护个人隐私和人身自由。</w:t>
      </w:r>
    </w:p>
    <w:p>
      <w:pPr>
        <w:spacing w:line="560" w:lineRule="atLeast"/>
        <w:ind w:firstLine="57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（三）组队责任</w:t>
      </w:r>
    </w:p>
    <w:p>
      <w:pPr>
        <w:spacing w:line="560" w:lineRule="atLeast"/>
        <w:ind w:firstLine="708" w:firstLineChars="253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1.</w:t>
      </w:r>
      <w:r>
        <w:rPr>
          <w:rFonts w:hint="eastAsia" w:ascii="仿宋_GB2312" w:hAnsi="宋体" w:eastAsia="仿宋_GB2312"/>
          <w:sz w:val="28"/>
          <w:szCs w:val="28"/>
        </w:rPr>
        <w:t>各学校组织代表队时，须安排为参赛选手购买大赛期间的人身意外伤害保险。</w:t>
      </w:r>
    </w:p>
    <w:p>
      <w:pPr>
        <w:spacing w:line="560" w:lineRule="atLeast"/>
        <w:ind w:firstLine="708" w:firstLineChars="253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2.</w:t>
      </w:r>
      <w:r>
        <w:rPr>
          <w:rFonts w:hint="eastAsia" w:ascii="仿宋_GB2312" w:hAnsi="宋体" w:eastAsia="仿宋_GB2312"/>
          <w:sz w:val="28"/>
          <w:szCs w:val="28"/>
        </w:rPr>
        <w:t>各学校代表队组成后，须制定相关管理制度，并对所有选手、指导教师进行安全教育。</w:t>
      </w:r>
    </w:p>
    <w:p>
      <w:pPr>
        <w:spacing w:line="560" w:lineRule="atLeast"/>
        <w:ind w:firstLine="708" w:firstLineChars="253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3.</w:t>
      </w:r>
      <w:r>
        <w:rPr>
          <w:rFonts w:hint="eastAsia" w:ascii="仿宋_GB2312" w:hAnsi="宋体" w:eastAsia="仿宋_GB2312"/>
          <w:sz w:val="28"/>
          <w:szCs w:val="28"/>
        </w:rPr>
        <w:t>各参赛队伍须加强对参与比赛人员的安全管理，实现与赛场安全管理的对接。</w:t>
      </w:r>
    </w:p>
    <w:p>
      <w:pPr>
        <w:spacing w:line="560" w:lineRule="atLeast"/>
        <w:ind w:firstLine="57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（四）应急处理</w:t>
      </w:r>
    </w:p>
    <w:p>
      <w:pPr>
        <w:spacing w:line="560" w:lineRule="atLeast"/>
        <w:ind w:firstLine="57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比赛期间发生意外事故，发现者应第一时间报告大赛办，同时采取措施避免事态扩大。大赛办应立即启动预案予以解决并报告组委会。赛项出现重大安全问题可以停赛，是否停赛由大赛办决定。事后，大赛办应向组委会报告详细情况。</w:t>
      </w:r>
    </w:p>
    <w:p>
      <w:pPr>
        <w:spacing w:line="560" w:lineRule="atLeast"/>
        <w:ind w:firstLine="57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（五）处罚措施</w:t>
      </w:r>
    </w:p>
    <w:p>
      <w:pPr>
        <w:spacing w:line="560" w:lineRule="atLeast"/>
        <w:ind w:firstLine="570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1.</w:t>
      </w:r>
      <w:r>
        <w:rPr>
          <w:rFonts w:hint="eastAsia" w:ascii="仿宋_GB2312" w:hAnsi="宋体" w:eastAsia="仿宋_GB2312"/>
          <w:sz w:val="28"/>
          <w:szCs w:val="28"/>
        </w:rPr>
        <w:t>因参赛队伍原因造成重大安全事故的，取消其获奖资格。</w:t>
      </w:r>
    </w:p>
    <w:p>
      <w:pPr>
        <w:spacing w:line="560" w:lineRule="atLeast"/>
        <w:ind w:firstLine="570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2.</w:t>
      </w:r>
      <w:r>
        <w:rPr>
          <w:rFonts w:hint="eastAsia" w:ascii="仿宋_GB2312" w:hAnsi="宋体" w:eastAsia="仿宋_GB2312"/>
          <w:sz w:val="28"/>
          <w:szCs w:val="28"/>
        </w:rPr>
        <w:t>参赛队伍有发生重大安全事故隐患，经赛场工作人员提示、警告无效的，可取消其继续比赛的资格。</w:t>
      </w:r>
    </w:p>
    <w:p>
      <w:pPr>
        <w:spacing w:line="560" w:lineRule="atLeast"/>
        <w:ind w:firstLine="570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3.</w:t>
      </w:r>
      <w:r>
        <w:rPr>
          <w:rFonts w:hint="eastAsia" w:ascii="仿宋_GB2312" w:hAnsi="宋体" w:eastAsia="仿宋_GB2312"/>
          <w:sz w:val="28"/>
          <w:szCs w:val="28"/>
        </w:rPr>
        <w:t>赛事工作人员违规的，按照相应的制度追究责任。情节恶劣并造成重大安全事故的，由司法机关追究相应法律责任。</w:t>
      </w:r>
    </w:p>
    <w:p/>
    <w:p>
      <w:pPr>
        <w:spacing w:line="480" w:lineRule="exact"/>
        <w:ind w:firstLine="560" w:firstLineChars="200"/>
        <w:rPr>
          <w:rFonts w:ascii="仿宋_GB2312" w:hAnsi="仿宋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bCs/>
          <w:kern w:val="0"/>
          <w:sz w:val="28"/>
          <w:szCs w:val="28"/>
        </w:rPr>
        <w:t>十四、竞赛须知</w:t>
      </w:r>
    </w:p>
    <w:p>
      <w:pPr>
        <w:adjustRightInd w:val="0"/>
        <w:snapToGrid w:val="0"/>
        <w:spacing w:line="560" w:lineRule="atLeast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ascii="仿宋_GB2312" w:hAnsi="宋体" w:eastAsia="仿宋_GB2312"/>
          <w:color w:val="000000"/>
          <w:sz w:val="28"/>
          <w:szCs w:val="28"/>
        </w:rPr>
        <w:t>1.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参赛选手须持本人身份证、学生证及统一签发的参赛证参加比赛；须提前在规定时间内到达赛区现场检录；迟到超过</w:t>
      </w:r>
      <w:r>
        <w:rPr>
          <w:rFonts w:ascii="仿宋_GB2312" w:hAnsi="宋体" w:eastAsia="仿宋_GB2312"/>
          <w:color w:val="000000"/>
          <w:sz w:val="28"/>
          <w:szCs w:val="28"/>
        </w:rPr>
        <w:t>15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分钟的选手，视作弃权，</w:t>
      </w:r>
      <w:r>
        <w:rPr>
          <w:rFonts w:hint="eastAsia" w:ascii="仿宋_GB2312" w:hAnsi="仿宋_GB2312" w:eastAsia="仿宋_GB2312"/>
          <w:sz w:val="28"/>
          <w:szCs w:val="28"/>
        </w:rPr>
        <w:t>不得入场比赛。</w:t>
      </w:r>
    </w:p>
    <w:p>
      <w:pPr>
        <w:adjustRightInd w:val="0"/>
        <w:snapToGrid w:val="0"/>
        <w:spacing w:line="560" w:lineRule="atLeast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ascii="仿宋_GB2312" w:hAnsi="宋体" w:eastAsia="仿宋_GB2312"/>
          <w:color w:val="000000"/>
          <w:sz w:val="28"/>
          <w:szCs w:val="28"/>
        </w:rPr>
        <w:t>2.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选手由引导员引导进入赛场，并在指定地点等候比赛，不得随意走动，不得大声喧哗。</w:t>
      </w:r>
    </w:p>
    <w:p>
      <w:pPr>
        <w:adjustRightInd w:val="0"/>
        <w:snapToGrid w:val="0"/>
        <w:spacing w:line="560" w:lineRule="atLeast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ascii="仿宋_GB2312" w:hAnsi="宋体" w:eastAsia="仿宋_GB2312"/>
          <w:color w:val="000000"/>
          <w:sz w:val="28"/>
          <w:szCs w:val="28"/>
        </w:rPr>
        <w:t>3.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选手不得携带任何书籍、纸质资料、通讯工具和存储设备（如</w:t>
      </w:r>
      <w:r>
        <w:rPr>
          <w:rFonts w:ascii="仿宋_GB2312" w:hAnsi="宋体" w:eastAsia="仿宋_GB2312"/>
          <w:color w:val="000000"/>
          <w:sz w:val="28"/>
          <w:szCs w:val="28"/>
        </w:rPr>
        <w:t>U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盘）进入赛场，一旦发现，视同作弊。</w:t>
      </w:r>
    </w:p>
    <w:p>
      <w:pPr>
        <w:adjustRightInd w:val="0"/>
        <w:snapToGrid w:val="0"/>
        <w:spacing w:line="560" w:lineRule="atLeast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ascii="仿宋_GB2312" w:hAnsi="宋体" w:eastAsia="仿宋_GB2312"/>
          <w:color w:val="000000"/>
          <w:sz w:val="28"/>
          <w:szCs w:val="28"/>
        </w:rPr>
        <w:t>4.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所有比赛项目均须在规定时间内完成，超时或缺项将扣分。选手比赛结束，即跟随引导员离开赛场，不得在赛场滞留。</w:t>
      </w:r>
    </w:p>
    <w:p>
      <w:pPr>
        <w:adjustRightInd w:val="0"/>
        <w:snapToGrid w:val="0"/>
        <w:spacing w:line="560" w:lineRule="atLeast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ascii="仿宋_GB2312" w:hAnsi="宋体" w:eastAsia="仿宋_GB2312"/>
          <w:color w:val="000000"/>
          <w:sz w:val="28"/>
          <w:szCs w:val="28"/>
        </w:rPr>
        <w:t>5.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在比赛过程中，要严格按照规定程序进行操作，爱护比赛现场的设备和器材，注意安全，防止意外事故发生。</w:t>
      </w:r>
    </w:p>
    <w:p>
      <w:pPr>
        <w:adjustRightInd w:val="0"/>
        <w:snapToGrid w:val="0"/>
        <w:spacing w:line="560" w:lineRule="atLeast"/>
        <w:ind w:firstLine="560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color w:val="000000"/>
          <w:sz w:val="28"/>
          <w:szCs w:val="28"/>
        </w:rPr>
        <w:t>6.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参赛选手应遵守比赛规则和赛场纪律，服从比赛大赛办的指挥和工作人员的安排。诚信参赛，拒绝舞弊，一旦发现弄虚作假等舞弊行</w:t>
      </w:r>
      <w:r>
        <w:rPr>
          <w:rFonts w:hint="eastAsia" w:ascii="仿宋_GB2312" w:hAnsi="宋体" w:eastAsia="仿宋_GB2312"/>
          <w:sz w:val="28"/>
          <w:szCs w:val="28"/>
        </w:rPr>
        <w:t>为，即取消该选手的比赛资格和成绩，并通报批评。</w:t>
      </w:r>
    </w:p>
    <w:p>
      <w:pPr>
        <w:spacing w:line="560" w:lineRule="atLeas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(</w:t>
      </w:r>
      <w:r>
        <w:rPr>
          <w:rFonts w:hint="eastAsia" w:ascii="仿宋_GB2312" w:hAnsi="宋体" w:eastAsia="仿宋_GB2312"/>
          <w:sz w:val="28"/>
          <w:szCs w:val="28"/>
        </w:rPr>
        <w:t>四</w:t>
      </w:r>
      <w:r>
        <w:rPr>
          <w:rFonts w:ascii="仿宋_GB2312" w:hAnsi="宋体" w:eastAsia="仿宋_GB2312"/>
          <w:sz w:val="28"/>
          <w:szCs w:val="28"/>
        </w:rPr>
        <w:t>)</w:t>
      </w:r>
      <w:r>
        <w:rPr>
          <w:rFonts w:hint="eastAsia" w:ascii="仿宋_GB2312" w:hAnsi="宋体" w:eastAsia="仿宋_GB2312"/>
          <w:sz w:val="28"/>
          <w:szCs w:val="28"/>
        </w:rPr>
        <w:t>工作人员须知</w:t>
      </w:r>
    </w:p>
    <w:p>
      <w:pPr>
        <w:spacing w:line="560" w:lineRule="atLeas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1.</w:t>
      </w:r>
      <w:r>
        <w:rPr>
          <w:rFonts w:hint="eastAsia" w:ascii="仿宋_GB2312" w:hAnsi="宋体" w:eastAsia="仿宋_GB2312"/>
          <w:sz w:val="28"/>
          <w:szCs w:val="28"/>
        </w:rPr>
        <w:t>必须服从大赛办统一指挥，认真履行职责，做好比赛各项服务工作。按时到岗，尽职尽责做好分配的各项工作，保证比赛顺利进行。</w:t>
      </w:r>
    </w:p>
    <w:p>
      <w:pPr>
        <w:spacing w:line="560" w:lineRule="atLeas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2.</w:t>
      </w:r>
      <w:r>
        <w:rPr>
          <w:rFonts w:hint="eastAsia" w:ascii="仿宋_GB2312" w:hAnsi="宋体" w:eastAsia="仿宋_GB2312"/>
          <w:sz w:val="28"/>
          <w:szCs w:val="28"/>
        </w:rPr>
        <w:t>协助大赛办做好抽签、检录、计时和统分等工作。认真检查、核准选手证件，引领选手进入和离开赛场，不得带领非参赛选手进入赛场。</w:t>
      </w:r>
    </w:p>
    <w:p>
      <w:pPr>
        <w:spacing w:line="560" w:lineRule="atLeas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3.</w:t>
      </w:r>
      <w:r>
        <w:rPr>
          <w:rFonts w:hint="eastAsia" w:ascii="仿宋_GB2312" w:hAnsi="宋体" w:eastAsia="仿宋_GB2312"/>
          <w:sz w:val="28"/>
          <w:szCs w:val="28"/>
        </w:rPr>
        <w:t>如遇突发事件，要及时向大赛办报告，同时做好疏导工作，避免重大事故发生，确保比赛圆满成功。</w:t>
      </w:r>
    </w:p>
    <w:p>
      <w:pPr>
        <w:spacing w:line="560" w:lineRule="atLeas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4.</w:t>
      </w:r>
      <w:r>
        <w:rPr>
          <w:rFonts w:hint="eastAsia" w:ascii="仿宋_GB2312" w:hAnsi="宋体" w:eastAsia="仿宋_GB2312"/>
          <w:sz w:val="28"/>
          <w:szCs w:val="28"/>
        </w:rPr>
        <w:t>不得在赛场内接听或打电话。坚守岗位，不做与工作岗位无关的事项。</w:t>
      </w:r>
    </w:p>
    <w:p>
      <w:pPr>
        <w:spacing w:line="480" w:lineRule="exact"/>
        <w:ind w:firstLine="560" w:firstLineChars="200"/>
        <w:rPr>
          <w:rFonts w:ascii="仿宋_GB2312" w:hAnsi="仿宋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bCs/>
          <w:kern w:val="0"/>
          <w:sz w:val="28"/>
          <w:szCs w:val="28"/>
        </w:rPr>
        <w:t>十五、申诉与仲裁</w:t>
      </w:r>
    </w:p>
    <w:p>
      <w:pPr>
        <w:spacing w:line="560" w:lineRule="atLeas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本赛项在比赛过程中若出现有失公正或有关人员违规等现象，参赛队领队可在比赛结束后</w:t>
      </w:r>
      <w:r>
        <w:rPr>
          <w:rFonts w:ascii="仿宋_GB2312" w:hAnsi="宋体" w:eastAsia="仿宋_GB2312"/>
          <w:sz w:val="28"/>
          <w:szCs w:val="28"/>
        </w:rPr>
        <w:t>2</w:t>
      </w:r>
      <w:r>
        <w:rPr>
          <w:rFonts w:hint="eastAsia" w:ascii="仿宋_GB2312" w:hAnsi="宋体" w:eastAsia="仿宋_GB2312"/>
          <w:sz w:val="28"/>
          <w:szCs w:val="28"/>
        </w:rPr>
        <w:t>小时之内向仲裁组提出书面申诉。</w:t>
      </w:r>
    </w:p>
    <w:p>
      <w:pPr>
        <w:spacing w:line="560" w:lineRule="atLeas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书面申诉应对申诉事件的现象、发生时间、涉及人员、申诉依据等进行充分、实事求是的叙述，并由领队亲笔签名。非书面申诉不予受理。</w:t>
      </w:r>
    </w:p>
    <w:p>
      <w:pPr>
        <w:spacing w:line="560" w:lineRule="atLeas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赛项仲裁工作组在接到申诉报告后的</w:t>
      </w:r>
      <w:r>
        <w:rPr>
          <w:rFonts w:ascii="仿宋_GB2312" w:hAnsi="宋体" w:eastAsia="仿宋_GB2312"/>
          <w:sz w:val="28"/>
          <w:szCs w:val="28"/>
        </w:rPr>
        <w:t>2</w:t>
      </w:r>
      <w:r>
        <w:rPr>
          <w:rFonts w:hint="eastAsia" w:ascii="仿宋_GB2312" w:hAnsi="宋体" w:eastAsia="仿宋_GB2312"/>
          <w:sz w:val="28"/>
          <w:szCs w:val="28"/>
        </w:rPr>
        <w:t>小时内组织复议，并及时将复议结果以书面形式告知申诉方，仲裁结果为最终结果。</w:t>
      </w:r>
    </w:p>
    <w:p>
      <w:pPr>
        <w:spacing w:line="480" w:lineRule="exact"/>
        <w:ind w:firstLine="697" w:firstLineChars="249"/>
        <w:rPr>
          <w:rFonts w:ascii="仿宋_GB2312" w:hAnsi="仿宋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bCs/>
          <w:kern w:val="0"/>
          <w:sz w:val="28"/>
          <w:szCs w:val="28"/>
        </w:rPr>
        <w:t>十六、竞赛观摩</w:t>
      </w:r>
    </w:p>
    <w:p>
      <w:pPr>
        <w:spacing w:line="560" w:lineRule="atLeast"/>
        <w:ind w:left="210" w:leftChars="100" w:firstLine="280" w:firstLineChars="100"/>
        <w:rPr>
          <w:rFonts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比赛观摩对象为参赛院校师生及有关从业人员。观摩要求：</w:t>
      </w:r>
    </w:p>
    <w:p>
      <w:pPr>
        <w:spacing w:line="560" w:lineRule="atLeast"/>
        <w:ind w:left="210" w:leftChars="100" w:firstLine="280" w:firstLineChars="100"/>
        <w:rPr>
          <w:rFonts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（一）观摩凭选手证、领队证、指导教师证、工作证等相关证件入场；</w:t>
      </w:r>
    </w:p>
    <w:p>
      <w:pPr>
        <w:spacing w:line="560" w:lineRule="atLeast"/>
        <w:ind w:firstLine="560" w:firstLineChars="200"/>
        <w:rPr>
          <w:rFonts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（二）不得喧哗，不得对场上比赛选手做出任何提示或干扰，不得进入评委席，不得干扰评委正常工作；</w:t>
      </w:r>
    </w:p>
    <w:p>
      <w:pPr>
        <w:spacing w:line="560" w:lineRule="atLeast"/>
        <w:ind w:firstLine="560" w:firstLineChars="20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（三）若出现干扰比赛正常进行的行为，工作人员有权将相关人员带离现场。</w:t>
      </w:r>
    </w:p>
    <w:p>
      <w:pPr>
        <w:spacing w:line="480" w:lineRule="exact"/>
        <w:ind w:firstLine="686" w:firstLineChars="245"/>
        <w:rPr>
          <w:rFonts w:ascii="仿宋_GB2312" w:hAnsi="仿宋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bCs/>
          <w:kern w:val="0"/>
          <w:sz w:val="28"/>
          <w:szCs w:val="28"/>
        </w:rPr>
        <w:t>十七、竞赛录像</w:t>
      </w:r>
    </w:p>
    <w:p>
      <w:pPr>
        <w:widowControl/>
        <w:spacing w:line="560" w:lineRule="atLeast"/>
        <w:ind w:firstLine="560" w:firstLineChars="200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大赛办要安排对全部比赛过程无盲点录像，同时，安排对优秀选手、优秀指导教师、评委和行业专家进行采访；突出赛项重点与优势特色，为大赛宣传和资源转化提供全面的信息资料。</w:t>
      </w:r>
    </w:p>
    <w:p>
      <w:pPr>
        <w:pStyle w:val="2"/>
        <w:keepNext w:val="0"/>
        <w:keepLines w:val="0"/>
        <w:adjustRightInd w:val="0"/>
        <w:snapToGrid w:val="0"/>
        <w:spacing w:before="0" w:after="0" w:line="560" w:lineRule="exact"/>
        <w:ind w:firstLine="829" w:firstLineChars="295"/>
        <w:jc w:val="left"/>
        <w:rPr>
          <w:rFonts w:ascii="仿宋_GB2312" w:hAnsi="仿宋" w:eastAsia="仿宋_GB2312" w:cs="宋体"/>
          <w:bCs w:val="0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bCs w:val="0"/>
          <w:kern w:val="0"/>
          <w:sz w:val="28"/>
          <w:szCs w:val="28"/>
        </w:rPr>
        <w:t>十八、资源转化</w:t>
      </w:r>
    </w:p>
    <w:p>
      <w:pPr>
        <w:spacing w:line="560" w:lineRule="atLeas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（一）赛项资源的整理归类</w:t>
      </w:r>
    </w:p>
    <w:p>
      <w:pPr>
        <w:spacing w:line="560" w:lineRule="atLeas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赛项结束后</w:t>
      </w:r>
      <w:r>
        <w:rPr>
          <w:rFonts w:ascii="仿宋_GB2312" w:hAnsi="宋体" w:eastAsia="仿宋_GB2312"/>
          <w:sz w:val="28"/>
          <w:szCs w:val="28"/>
        </w:rPr>
        <w:t>1</w:t>
      </w:r>
      <w:r>
        <w:rPr>
          <w:rFonts w:hint="eastAsia" w:ascii="仿宋_GB2312" w:hAnsi="宋体" w:eastAsia="仿宋_GB2312"/>
          <w:sz w:val="28"/>
          <w:szCs w:val="28"/>
        </w:rPr>
        <w:t>个月内完成竞赛资源的整理与归档，并在此基础上完成制定资源转化方案。</w:t>
      </w:r>
    </w:p>
    <w:p>
      <w:pPr>
        <w:spacing w:line="560" w:lineRule="atLeas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（</w:t>
      </w:r>
      <w:r>
        <w:rPr>
          <w:rFonts w:hint="eastAsia" w:ascii="仿宋_GB2312" w:hAnsi="宋体" w:eastAsia="仿宋_GB2312"/>
          <w:sz w:val="28"/>
          <w:szCs w:val="28"/>
        </w:rPr>
        <w:t>二）教学资源转化方案</w:t>
      </w:r>
    </w:p>
    <w:p>
      <w:pPr>
        <w:spacing w:line="560" w:lineRule="atLeast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 xml:space="preserve">    1</w:t>
      </w:r>
      <w:r>
        <w:rPr>
          <w:rFonts w:hint="eastAsia" w:ascii="仿宋_GB2312" w:hAnsi="宋体" w:eastAsia="仿宋_GB2312"/>
          <w:sz w:val="28"/>
          <w:szCs w:val="28"/>
        </w:rPr>
        <w:t>．在赛项结束</w:t>
      </w:r>
      <w:r>
        <w:rPr>
          <w:rFonts w:ascii="仿宋_GB2312" w:hAnsi="宋体" w:eastAsia="仿宋_GB2312"/>
          <w:sz w:val="28"/>
          <w:szCs w:val="28"/>
        </w:rPr>
        <w:t>1</w:t>
      </w:r>
      <w:r>
        <w:rPr>
          <w:rFonts w:hint="eastAsia" w:ascii="仿宋_GB2312" w:hAnsi="宋体" w:eastAsia="仿宋_GB2312"/>
          <w:sz w:val="28"/>
          <w:szCs w:val="28"/>
        </w:rPr>
        <w:t>个月内，整理编辑出竞赛获奖选手的风采展示片和竞赛宣传片。</w:t>
      </w:r>
    </w:p>
    <w:p>
      <w:pPr>
        <w:spacing w:line="560" w:lineRule="atLeast"/>
        <w:ind w:firstLine="630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2</w:t>
      </w:r>
      <w:r>
        <w:rPr>
          <w:rFonts w:hint="eastAsia" w:ascii="仿宋_GB2312" w:hAnsi="宋体" w:eastAsia="仿宋_GB2312"/>
          <w:sz w:val="28"/>
          <w:szCs w:val="28"/>
        </w:rPr>
        <w:t>．在赛项结束</w:t>
      </w:r>
      <w:r>
        <w:rPr>
          <w:rFonts w:ascii="仿宋_GB2312" w:hAnsi="宋体" w:eastAsia="仿宋_GB2312"/>
          <w:sz w:val="28"/>
          <w:szCs w:val="28"/>
        </w:rPr>
        <w:t>3</w:t>
      </w:r>
      <w:r>
        <w:rPr>
          <w:rFonts w:hint="eastAsia" w:ascii="仿宋_GB2312" w:hAnsi="宋体" w:eastAsia="仿宋_GB2312"/>
          <w:sz w:val="28"/>
          <w:szCs w:val="28"/>
        </w:rPr>
        <w:t>个月内，完成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编辑比赛样题、比赛考核评分案例等，促进教学方式、培养模式、评价方式的改革，全面提升弹拨乐器专业建设水</w:t>
      </w:r>
      <w:r>
        <w:rPr>
          <w:rFonts w:hint="eastAsia" w:ascii="仿宋_GB2312" w:hAnsi="宋体" w:eastAsia="仿宋_GB2312"/>
          <w:sz w:val="28"/>
          <w:szCs w:val="28"/>
        </w:rPr>
        <w:t>平。</w:t>
      </w:r>
    </w:p>
    <w:p>
      <w:pPr>
        <w:tabs>
          <w:tab w:val="left" w:pos="5286"/>
        </w:tabs>
        <w:jc w:val="left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3</w:t>
      </w:r>
      <w:r>
        <w:rPr>
          <w:rFonts w:hint="eastAsia" w:ascii="仿宋_GB2312" w:hAnsi="宋体" w:eastAsia="仿宋_GB2312"/>
          <w:sz w:val="28"/>
          <w:szCs w:val="28"/>
        </w:rPr>
        <w:t>．在赛项结束半年内，完成比赛视频的编辑制作，推进教学资源开发。编辑比赛和专家点评音像记录，使之成为课堂教学真实、生动、共享性视频资源，为选拔和推出弹拨乐器优秀人才提供广阔的平台.</w:t>
      </w:r>
    </w:p>
    <w:p>
      <w:pPr>
        <w:tabs>
          <w:tab w:val="left" w:pos="5286"/>
        </w:tabs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 xml:space="preserve">1 </w:t>
      </w:r>
      <w:r>
        <w:rPr>
          <w:rFonts w:hint="eastAsia"/>
          <w:sz w:val="28"/>
          <w:szCs w:val="28"/>
        </w:rPr>
        <w:t>样题</w:t>
      </w:r>
    </w:p>
    <w:p>
      <w:pPr>
        <w:tabs>
          <w:tab w:val="left" w:pos="5286"/>
        </w:tabs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 xml:space="preserve">2 </w:t>
      </w:r>
      <w:r>
        <w:rPr>
          <w:rFonts w:hint="eastAsia"/>
          <w:sz w:val="28"/>
          <w:szCs w:val="28"/>
        </w:rPr>
        <w:t>评分标准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rPr>
        <w:lang w:val="zh-CN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704E"/>
    <w:rsid w:val="000173EF"/>
    <w:rsid w:val="00043A43"/>
    <w:rsid w:val="00043E9F"/>
    <w:rsid w:val="00067F38"/>
    <w:rsid w:val="00083130"/>
    <w:rsid w:val="00093F7E"/>
    <w:rsid w:val="000979AF"/>
    <w:rsid w:val="000B1499"/>
    <w:rsid w:val="000B2232"/>
    <w:rsid w:val="000D2B7E"/>
    <w:rsid w:val="000F0BD7"/>
    <w:rsid w:val="000F587D"/>
    <w:rsid w:val="00106208"/>
    <w:rsid w:val="00106A85"/>
    <w:rsid w:val="001146C7"/>
    <w:rsid w:val="00122235"/>
    <w:rsid w:val="001245EB"/>
    <w:rsid w:val="00141A61"/>
    <w:rsid w:val="001431D2"/>
    <w:rsid w:val="00183E87"/>
    <w:rsid w:val="0019038B"/>
    <w:rsid w:val="00190E60"/>
    <w:rsid w:val="001A49D6"/>
    <w:rsid w:val="001B12A4"/>
    <w:rsid w:val="002033DF"/>
    <w:rsid w:val="00236B01"/>
    <w:rsid w:val="00295C76"/>
    <w:rsid w:val="002A1941"/>
    <w:rsid w:val="002C5CE8"/>
    <w:rsid w:val="002D52DF"/>
    <w:rsid w:val="002F5CAB"/>
    <w:rsid w:val="00300C09"/>
    <w:rsid w:val="003127A2"/>
    <w:rsid w:val="00313143"/>
    <w:rsid w:val="00337227"/>
    <w:rsid w:val="00366EBA"/>
    <w:rsid w:val="00393919"/>
    <w:rsid w:val="003A0163"/>
    <w:rsid w:val="003D7BCC"/>
    <w:rsid w:val="00406183"/>
    <w:rsid w:val="0041353F"/>
    <w:rsid w:val="00455283"/>
    <w:rsid w:val="00456479"/>
    <w:rsid w:val="00490354"/>
    <w:rsid w:val="004929A7"/>
    <w:rsid w:val="004A6BC6"/>
    <w:rsid w:val="004A7A57"/>
    <w:rsid w:val="004D377C"/>
    <w:rsid w:val="004D5E22"/>
    <w:rsid w:val="004E6A82"/>
    <w:rsid w:val="004F0298"/>
    <w:rsid w:val="004F7E0F"/>
    <w:rsid w:val="0053610C"/>
    <w:rsid w:val="0055287B"/>
    <w:rsid w:val="0056428E"/>
    <w:rsid w:val="00566F21"/>
    <w:rsid w:val="005770DB"/>
    <w:rsid w:val="00577F51"/>
    <w:rsid w:val="005818AC"/>
    <w:rsid w:val="005918C6"/>
    <w:rsid w:val="005A54A5"/>
    <w:rsid w:val="005A658F"/>
    <w:rsid w:val="005B07C1"/>
    <w:rsid w:val="005F431B"/>
    <w:rsid w:val="00612D92"/>
    <w:rsid w:val="00625368"/>
    <w:rsid w:val="00643E4B"/>
    <w:rsid w:val="00646749"/>
    <w:rsid w:val="00647CF0"/>
    <w:rsid w:val="00650DEE"/>
    <w:rsid w:val="0065473E"/>
    <w:rsid w:val="00654A14"/>
    <w:rsid w:val="0067122B"/>
    <w:rsid w:val="00681959"/>
    <w:rsid w:val="00686B4F"/>
    <w:rsid w:val="006976D4"/>
    <w:rsid w:val="006A427E"/>
    <w:rsid w:val="006D668B"/>
    <w:rsid w:val="006E4BA9"/>
    <w:rsid w:val="00706443"/>
    <w:rsid w:val="007341D5"/>
    <w:rsid w:val="0073677C"/>
    <w:rsid w:val="007452BA"/>
    <w:rsid w:val="00764810"/>
    <w:rsid w:val="007743F6"/>
    <w:rsid w:val="0078032F"/>
    <w:rsid w:val="00790AE4"/>
    <w:rsid w:val="00795866"/>
    <w:rsid w:val="007A5369"/>
    <w:rsid w:val="007B599D"/>
    <w:rsid w:val="007B6D28"/>
    <w:rsid w:val="007C67C8"/>
    <w:rsid w:val="007E4C88"/>
    <w:rsid w:val="007F6A67"/>
    <w:rsid w:val="0082147F"/>
    <w:rsid w:val="00832D51"/>
    <w:rsid w:val="00834343"/>
    <w:rsid w:val="00844426"/>
    <w:rsid w:val="0086127E"/>
    <w:rsid w:val="00864D30"/>
    <w:rsid w:val="00873BD5"/>
    <w:rsid w:val="0088126C"/>
    <w:rsid w:val="00891041"/>
    <w:rsid w:val="008D6DAA"/>
    <w:rsid w:val="00911846"/>
    <w:rsid w:val="0091209E"/>
    <w:rsid w:val="00915E24"/>
    <w:rsid w:val="0092046A"/>
    <w:rsid w:val="0092664C"/>
    <w:rsid w:val="00935141"/>
    <w:rsid w:val="00936842"/>
    <w:rsid w:val="009440CE"/>
    <w:rsid w:val="009554FF"/>
    <w:rsid w:val="00964D12"/>
    <w:rsid w:val="00982D05"/>
    <w:rsid w:val="009866AB"/>
    <w:rsid w:val="00987B62"/>
    <w:rsid w:val="00994165"/>
    <w:rsid w:val="0099670E"/>
    <w:rsid w:val="009A3C60"/>
    <w:rsid w:val="009A754D"/>
    <w:rsid w:val="009B469E"/>
    <w:rsid w:val="009C5561"/>
    <w:rsid w:val="009D1E8F"/>
    <w:rsid w:val="009D4CBA"/>
    <w:rsid w:val="009E1296"/>
    <w:rsid w:val="009F16D6"/>
    <w:rsid w:val="009F4B26"/>
    <w:rsid w:val="00A0532D"/>
    <w:rsid w:val="00A069A1"/>
    <w:rsid w:val="00A17670"/>
    <w:rsid w:val="00A2556B"/>
    <w:rsid w:val="00A33C6D"/>
    <w:rsid w:val="00A535F3"/>
    <w:rsid w:val="00A64BD1"/>
    <w:rsid w:val="00AA7F89"/>
    <w:rsid w:val="00AC166A"/>
    <w:rsid w:val="00AC7F1B"/>
    <w:rsid w:val="00AD0E80"/>
    <w:rsid w:val="00AD0EDA"/>
    <w:rsid w:val="00B02484"/>
    <w:rsid w:val="00B06BB3"/>
    <w:rsid w:val="00B076B8"/>
    <w:rsid w:val="00B34559"/>
    <w:rsid w:val="00B53213"/>
    <w:rsid w:val="00B67D71"/>
    <w:rsid w:val="00B80DB2"/>
    <w:rsid w:val="00B82764"/>
    <w:rsid w:val="00B91356"/>
    <w:rsid w:val="00BA23A1"/>
    <w:rsid w:val="00BA5AAF"/>
    <w:rsid w:val="00BB2544"/>
    <w:rsid w:val="00BC6086"/>
    <w:rsid w:val="00BD045F"/>
    <w:rsid w:val="00BF0967"/>
    <w:rsid w:val="00C165B7"/>
    <w:rsid w:val="00C73ABA"/>
    <w:rsid w:val="00CB47E9"/>
    <w:rsid w:val="00CB5917"/>
    <w:rsid w:val="00CB6493"/>
    <w:rsid w:val="00CC5221"/>
    <w:rsid w:val="00CC74EE"/>
    <w:rsid w:val="00CE47CF"/>
    <w:rsid w:val="00D531BA"/>
    <w:rsid w:val="00D55720"/>
    <w:rsid w:val="00D656A0"/>
    <w:rsid w:val="00D74577"/>
    <w:rsid w:val="00D90EFF"/>
    <w:rsid w:val="00DA407B"/>
    <w:rsid w:val="00DB1B4D"/>
    <w:rsid w:val="00DC6BB8"/>
    <w:rsid w:val="00DE6BA0"/>
    <w:rsid w:val="00DF7929"/>
    <w:rsid w:val="00E17301"/>
    <w:rsid w:val="00E40099"/>
    <w:rsid w:val="00E478F3"/>
    <w:rsid w:val="00E60E3D"/>
    <w:rsid w:val="00E64697"/>
    <w:rsid w:val="00E73773"/>
    <w:rsid w:val="00E87845"/>
    <w:rsid w:val="00EB704E"/>
    <w:rsid w:val="00EC38F1"/>
    <w:rsid w:val="00EC798C"/>
    <w:rsid w:val="00ED3BF7"/>
    <w:rsid w:val="00EE3198"/>
    <w:rsid w:val="00EF4F22"/>
    <w:rsid w:val="00F41C3A"/>
    <w:rsid w:val="00F47558"/>
    <w:rsid w:val="00F576C3"/>
    <w:rsid w:val="00F57975"/>
    <w:rsid w:val="00F63203"/>
    <w:rsid w:val="00F674C6"/>
    <w:rsid w:val="00F916E3"/>
    <w:rsid w:val="00F94055"/>
    <w:rsid w:val="00FA3252"/>
    <w:rsid w:val="00FB1B95"/>
    <w:rsid w:val="00FB4EAD"/>
    <w:rsid w:val="00FC2DBA"/>
    <w:rsid w:val="00FC4AD5"/>
    <w:rsid w:val="00FD3358"/>
    <w:rsid w:val="00FE2916"/>
    <w:rsid w:val="015F353A"/>
    <w:rsid w:val="02843F5F"/>
    <w:rsid w:val="05082F62"/>
    <w:rsid w:val="069E63A4"/>
    <w:rsid w:val="092613F0"/>
    <w:rsid w:val="098054D8"/>
    <w:rsid w:val="0A7E28F9"/>
    <w:rsid w:val="0AA344BB"/>
    <w:rsid w:val="0C2B6E5D"/>
    <w:rsid w:val="0D8E101D"/>
    <w:rsid w:val="0DEB1980"/>
    <w:rsid w:val="127A4CFD"/>
    <w:rsid w:val="12BE7C6A"/>
    <w:rsid w:val="16051A3A"/>
    <w:rsid w:val="17B900C2"/>
    <w:rsid w:val="190E05EB"/>
    <w:rsid w:val="1A313E65"/>
    <w:rsid w:val="1A4103CD"/>
    <w:rsid w:val="1AF95B71"/>
    <w:rsid w:val="1DB5575A"/>
    <w:rsid w:val="1F1D2496"/>
    <w:rsid w:val="256A5AC4"/>
    <w:rsid w:val="26A31BF3"/>
    <w:rsid w:val="26E7685E"/>
    <w:rsid w:val="290C4682"/>
    <w:rsid w:val="2C314C5E"/>
    <w:rsid w:val="2CBD27EF"/>
    <w:rsid w:val="2D6D0F56"/>
    <w:rsid w:val="31A02B70"/>
    <w:rsid w:val="323B6039"/>
    <w:rsid w:val="33685095"/>
    <w:rsid w:val="382D3BEC"/>
    <w:rsid w:val="388C5EB1"/>
    <w:rsid w:val="396616A7"/>
    <w:rsid w:val="3A29632A"/>
    <w:rsid w:val="3A4644BC"/>
    <w:rsid w:val="3E0F6662"/>
    <w:rsid w:val="45A97F95"/>
    <w:rsid w:val="45DA436E"/>
    <w:rsid w:val="47383E2F"/>
    <w:rsid w:val="47A616FF"/>
    <w:rsid w:val="482F0818"/>
    <w:rsid w:val="4C063DE5"/>
    <w:rsid w:val="4C827877"/>
    <w:rsid w:val="4C8603DC"/>
    <w:rsid w:val="4CC30C88"/>
    <w:rsid w:val="4E6F70F0"/>
    <w:rsid w:val="4F2057AD"/>
    <w:rsid w:val="55274015"/>
    <w:rsid w:val="55BC21D3"/>
    <w:rsid w:val="583D1F98"/>
    <w:rsid w:val="59285CCA"/>
    <w:rsid w:val="5E125B80"/>
    <w:rsid w:val="62B05D8F"/>
    <w:rsid w:val="648824E4"/>
    <w:rsid w:val="67321A41"/>
    <w:rsid w:val="689048FC"/>
    <w:rsid w:val="6C831F96"/>
    <w:rsid w:val="6CF318DD"/>
    <w:rsid w:val="6D225A53"/>
    <w:rsid w:val="6E8539F4"/>
    <w:rsid w:val="6EA92C64"/>
    <w:rsid w:val="70532F2B"/>
    <w:rsid w:val="71962B62"/>
    <w:rsid w:val="730B5E6C"/>
    <w:rsid w:val="74245A84"/>
    <w:rsid w:val="7B053C03"/>
    <w:rsid w:val="7CB877CB"/>
    <w:rsid w:val="7DCB3419"/>
    <w:rsid w:val="7E1613DA"/>
    <w:rsid w:val="7FE861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2"/>
    <w:qFormat/>
    <w:uiPriority w:val="99"/>
    <w:pPr>
      <w:keepNext/>
      <w:keepLines/>
      <w:spacing w:before="260" w:after="260" w:line="412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qFormat/>
    <w:uiPriority w:val="99"/>
    <w:pPr>
      <w:jc w:val="left"/>
    </w:pPr>
    <w:rPr>
      <w:rFonts w:ascii="Calibri" w:hAnsi="Calibri"/>
      <w:kern w:val="0"/>
      <w:sz w:val="24"/>
      <w:szCs w:val="20"/>
    </w:rPr>
  </w:style>
  <w:style w:type="paragraph" w:styleId="4">
    <w:name w:val="Plain Text"/>
    <w:basedOn w:val="1"/>
    <w:link w:val="13"/>
    <w:qFormat/>
    <w:uiPriority w:val="99"/>
    <w:rPr>
      <w:rFonts w:ascii="宋体" w:hAnsi="Courier New"/>
      <w:szCs w:val="21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rPr>
      <w:sz w:val="24"/>
    </w:rPr>
  </w:style>
  <w:style w:type="character" w:styleId="9">
    <w:name w:val="Hyperlink"/>
    <w:basedOn w:val="8"/>
    <w:qFormat/>
    <w:uiPriority w:val="99"/>
    <w:rPr>
      <w:rFonts w:cs="Times New Roman"/>
      <w:color w:val="0000FF"/>
      <w:sz w:val="24"/>
      <w:szCs w:val="24"/>
      <w:u w:val="single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标题 3 Char"/>
    <w:basedOn w:val="8"/>
    <w:link w:val="2"/>
    <w:qFormat/>
    <w:locked/>
    <w:uiPriority w:val="9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3">
    <w:name w:val="纯文本 Char"/>
    <w:basedOn w:val="8"/>
    <w:link w:val="4"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14">
    <w:name w:val="页脚 Char"/>
    <w:basedOn w:val="8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页眉 Char"/>
    <w:basedOn w:val="8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Comment Text Char"/>
    <w:basedOn w:val="8"/>
    <w:link w:val="3"/>
    <w:semiHidden/>
    <w:qFormat/>
    <w:locked/>
    <w:uiPriority w:val="99"/>
    <w:rPr>
      <w:rFonts w:ascii="Times New Roman" w:hAnsi="Times New Roman" w:cs="Times New Roman"/>
      <w:sz w:val="24"/>
      <w:szCs w:val="24"/>
    </w:rPr>
  </w:style>
  <w:style w:type="character" w:customStyle="1" w:styleId="17">
    <w:name w:val="批注文字 Char"/>
    <w:basedOn w:val="8"/>
    <w:link w:val="3"/>
    <w:semiHidden/>
    <w:qFormat/>
    <w:locked/>
    <w:uiPriority w:val="99"/>
    <w:rPr>
      <w:rFonts w:ascii="Calibri" w:hAnsi="Calibri" w:eastAsia="宋体" w:cs="Times New Roman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763</Words>
  <Characters>4355</Characters>
  <Lines>36</Lines>
  <Paragraphs>10</Paragraphs>
  <ScaleCrop>false</ScaleCrop>
  <LinksUpToDate>false</LinksUpToDate>
  <CharactersWithSpaces>5108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2017-08-06T06:25:00Z</dcterms:created>
  <dc:creator>Lenovo</dc:creator>
  <cp:lastModifiedBy>lenovo</cp:lastModifiedBy>
  <dcterms:modified xsi:type="dcterms:W3CDTF">2018-09-27T05:54:57Z</dcterms:modified>
  <dc:title>2017年度沈阳职业院校技能大赛</dc:title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