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6"/>
          <w:szCs w:val="36"/>
        </w:rPr>
      </w:pPr>
      <w:r>
        <w:rPr>
          <w:rFonts w:ascii="黑体" w:hAnsi="黑体" w:eastAsia="黑体"/>
          <w:sz w:val="36"/>
          <w:szCs w:val="36"/>
        </w:rPr>
        <w:t>201</w:t>
      </w:r>
      <w:r>
        <w:rPr>
          <w:rFonts w:hint="eastAsia" w:ascii="黑体" w:hAnsi="黑体" w:eastAsia="黑体"/>
          <w:sz w:val="36"/>
          <w:szCs w:val="36"/>
        </w:rPr>
        <w:t>8年沈阳职业院校技能大赛</w:t>
      </w:r>
    </w:p>
    <w:p>
      <w:pPr>
        <w:spacing w:line="600" w:lineRule="exact"/>
        <w:jc w:val="center"/>
        <w:rPr>
          <w:rFonts w:ascii="黑体" w:hAnsi="黑体" w:eastAsia="黑体"/>
          <w:sz w:val="36"/>
          <w:szCs w:val="36"/>
        </w:rPr>
      </w:pPr>
      <w:r>
        <w:rPr>
          <w:rFonts w:hint="eastAsia" w:ascii="黑体" w:hAnsi="黑体" w:eastAsia="黑体"/>
          <w:sz w:val="36"/>
          <w:szCs w:val="36"/>
        </w:rPr>
        <w:t>中职（专业）组“中国舞表演”赛项规程</w:t>
      </w:r>
    </w:p>
    <w:p>
      <w:pPr>
        <w:spacing w:line="600" w:lineRule="exact"/>
        <w:rPr>
          <w:rFonts w:ascii="仿宋" w:hAnsi="仿宋" w:eastAsia="仿宋"/>
          <w:sz w:val="28"/>
          <w:szCs w:val="28"/>
        </w:rPr>
      </w:pP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一、赛项名称</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赛项编号：</w:t>
      </w:r>
      <w:r>
        <w:rPr>
          <w:rFonts w:ascii="仿宋" w:hAnsi="仿宋" w:eastAsia="仿宋"/>
          <w:sz w:val="28"/>
          <w:szCs w:val="28"/>
        </w:rPr>
        <w:t>ZZ-</w:t>
      </w:r>
      <w:r>
        <w:rPr>
          <w:rFonts w:hint="eastAsia" w:ascii="仿宋" w:hAnsi="仿宋" w:eastAsia="仿宋"/>
          <w:sz w:val="28"/>
          <w:szCs w:val="28"/>
        </w:rPr>
        <w:t>09</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赛项名称：中国舞表演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赛项组别：中职组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赛项归属产业：文化艺术</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二、竞赛目的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通过比赛，进一步发挥沈阳市职业院校技能大赛的宏观指导和品牌作用，引领推进我省中等艺术职业教育教学创新发展，充分展示沈阳中等职业院校舞蹈表演专业（中国舞表演方向）的教育教学成果，着力推出优秀中国舞表演人才，为传承和发展中华民族舞蹈艺术提供人才保障。</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三、竞赛内容与时间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（一）竞赛内容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本赛项为个人项目，参赛表演形式为独舞。中国舞表演舞种为中国民族民间舞或中国古典舞。比赛内容包括专业技能展示和专业拓展能力考察。比赛分两轮进行。</w:t>
      </w:r>
    </w:p>
    <w:p>
      <w:pPr>
        <w:spacing w:line="6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（二）第一轮比赛（全体选手参加）</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剧目片断表演</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自选中国舞剧目片断一个，现场表演。时间</w:t>
      </w:r>
      <w:r>
        <w:rPr>
          <w:rFonts w:ascii="仿宋" w:hAnsi="仿宋" w:eastAsia="仿宋"/>
          <w:sz w:val="28"/>
          <w:szCs w:val="28"/>
        </w:rPr>
        <w:t>2</w:t>
      </w:r>
      <w:r>
        <w:rPr>
          <w:rFonts w:hint="eastAsia" w:ascii="仿宋" w:hAnsi="仿宋" w:eastAsia="仿宋"/>
          <w:sz w:val="28"/>
          <w:szCs w:val="28"/>
        </w:rPr>
        <w:t>分</w:t>
      </w:r>
      <w:r>
        <w:rPr>
          <w:rFonts w:ascii="仿宋" w:hAnsi="仿宋" w:eastAsia="仿宋"/>
          <w:sz w:val="28"/>
          <w:szCs w:val="28"/>
        </w:rPr>
        <w:t>30</w:t>
      </w:r>
      <w:r>
        <w:rPr>
          <w:rFonts w:hint="eastAsia" w:ascii="仿宋" w:hAnsi="仿宋" w:eastAsia="仿宋"/>
          <w:sz w:val="28"/>
          <w:szCs w:val="28"/>
        </w:rPr>
        <w:t>秒至</w:t>
      </w:r>
      <w:r>
        <w:rPr>
          <w:rFonts w:ascii="仿宋" w:hAnsi="仿宋" w:eastAsia="仿宋"/>
          <w:sz w:val="28"/>
          <w:szCs w:val="28"/>
        </w:rPr>
        <w:t>3</w:t>
      </w:r>
      <w:r>
        <w:rPr>
          <w:rFonts w:hint="eastAsia" w:ascii="仿宋" w:hAnsi="仿宋" w:eastAsia="仿宋"/>
          <w:sz w:val="28"/>
          <w:szCs w:val="28"/>
        </w:rPr>
        <w:t>分钟。重点考察选手的舞蹈表现和舞台实践能力。</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剧目片断须选自公演过的中国舞成品剧目，与教学相结合。推荐从参加前</w:t>
      </w:r>
      <w:r>
        <w:rPr>
          <w:rFonts w:ascii="仿宋" w:hAnsi="仿宋" w:eastAsia="仿宋"/>
          <w:sz w:val="28"/>
          <w:szCs w:val="28"/>
        </w:rPr>
        <w:t>10</w:t>
      </w:r>
      <w:r>
        <w:rPr>
          <w:rFonts w:hint="eastAsia" w:ascii="仿宋" w:hAnsi="仿宋" w:eastAsia="仿宋"/>
          <w:sz w:val="28"/>
          <w:szCs w:val="28"/>
        </w:rPr>
        <w:t>届全国“桃李杯”舞蹈比赛和第</w:t>
      </w:r>
      <w:r>
        <w:rPr>
          <w:rFonts w:ascii="仿宋" w:hAnsi="仿宋" w:eastAsia="仿宋"/>
          <w:sz w:val="28"/>
          <w:szCs w:val="28"/>
        </w:rPr>
        <w:t>11</w:t>
      </w:r>
      <w:r>
        <w:rPr>
          <w:rFonts w:hint="eastAsia" w:ascii="仿宋" w:hAnsi="仿宋" w:eastAsia="仿宋"/>
          <w:sz w:val="28"/>
          <w:szCs w:val="28"/>
        </w:rPr>
        <w:t>届全国“桃李杯”舞蹈教育教学成果展示活动的优秀教学剧目中选择。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（三）第二轮比赛（</w:t>
      </w:r>
      <w:r>
        <w:rPr>
          <w:rFonts w:ascii="仿宋" w:hAnsi="仿宋" w:eastAsia="仿宋"/>
          <w:sz w:val="28"/>
          <w:szCs w:val="28"/>
        </w:rPr>
        <w:t>60%</w:t>
      </w:r>
      <w:r>
        <w:rPr>
          <w:rFonts w:hint="eastAsia" w:ascii="仿宋" w:hAnsi="仿宋" w:eastAsia="仿宋"/>
          <w:sz w:val="28"/>
          <w:szCs w:val="28"/>
        </w:rPr>
        <w:t>选手参加）</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技术技巧展示</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自选一个中国舞技术技巧（控制、跳、转、翻）组合，现场展示，时间</w:t>
      </w:r>
      <w:r>
        <w:rPr>
          <w:rFonts w:ascii="仿宋" w:hAnsi="仿宋" w:eastAsia="仿宋"/>
          <w:sz w:val="28"/>
          <w:szCs w:val="28"/>
        </w:rPr>
        <w:t>3</w:t>
      </w:r>
      <w:r>
        <w:rPr>
          <w:rFonts w:hint="eastAsia" w:ascii="仿宋" w:hAnsi="仿宋" w:eastAsia="仿宋"/>
          <w:sz w:val="28"/>
          <w:szCs w:val="28"/>
        </w:rPr>
        <w:t>分钟之内。技术动作自定，以组合形式呈现，音乐自选。</w:t>
      </w:r>
    </w:p>
    <w:p>
      <w:pPr>
        <w:spacing w:line="600" w:lineRule="exact"/>
        <w:rPr>
          <w:rFonts w:ascii="仿宋" w:hAnsi="仿宋" w:eastAsia="仿宋"/>
          <w:sz w:val="28"/>
          <w:szCs w:val="28"/>
        </w:rPr>
      </w:pPr>
      <w:r>
        <w:rPr>
          <w:rFonts w:hint="eastAsia" w:ascii="仿宋" w:hAnsi="仿宋" w:eastAsia="仿宋"/>
          <w:sz w:val="28"/>
          <w:szCs w:val="28"/>
        </w:rPr>
        <w:t>重点考察选手的专业基本功水平。</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专业拓展能力（即兴表演）单人现场抽取音乐，时间约为1分钟，音乐共播放3遍，播放第2遍时选手可以跟随音乐试动作，播放第3遍时跟随音乐即兴表演。考察重点考察选手的专业拓展能力。</w:t>
      </w:r>
    </w:p>
    <w:p>
      <w:pPr>
        <w:spacing w:line="600" w:lineRule="exact"/>
        <w:rPr>
          <w:rFonts w:ascii="仿宋" w:hAnsi="仿宋" w:eastAsia="仿宋"/>
          <w:sz w:val="28"/>
          <w:szCs w:val="28"/>
        </w:rPr>
      </w:pP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四、竞赛方式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（一）本赛项为个人赛项，以学校为单位报名参赛。每校配领队</w:t>
      </w:r>
      <w:r>
        <w:rPr>
          <w:rFonts w:ascii="仿宋" w:hAnsi="仿宋" w:eastAsia="仿宋"/>
          <w:sz w:val="28"/>
          <w:szCs w:val="28"/>
        </w:rPr>
        <w:t>1</w:t>
      </w:r>
      <w:r>
        <w:rPr>
          <w:rFonts w:hint="eastAsia" w:ascii="仿宋" w:hAnsi="仿宋" w:eastAsia="仿宋"/>
          <w:sz w:val="28"/>
          <w:szCs w:val="28"/>
        </w:rPr>
        <w:t>人，每个项目每校限报</w:t>
      </w:r>
      <w:r>
        <w:rPr>
          <w:rFonts w:ascii="仿宋" w:hAnsi="仿宋" w:eastAsia="仿宋"/>
          <w:sz w:val="28"/>
          <w:szCs w:val="28"/>
        </w:rPr>
        <w:t>3</w:t>
      </w:r>
      <w:r>
        <w:rPr>
          <w:rFonts w:hint="eastAsia" w:ascii="仿宋" w:hAnsi="仿宋" w:eastAsia="仿宋"/>
          <w:sz w:val="28"/>
          <w:szCs w:val="28"/>
        </w:rPr>
        <w:t>名选手，每人只能报一个项目，不得兼报。每名参赛选手指定</w:t>
      </w:r>
      <w:r>
        <w:rPr>
          <w:rFonts w:ascii="仿宋" w:hAnsi="仿宋" w:eastAsia="仿宋"/>
          <w:sz w:val="28"/>
          <w:szCs w:val="28"/>
        </w:rPr>
        <w:t>1</w:t>
      </w:r>
      <w:r>
        <w:rPr>
          <w:rFonts w:hint="eastAsia" w:ascii="仿宋" w:hAnsi="仿宋" w:eastAsia="仿宋"/>
          <w:sz w:val="28"/>
          <w:szCs w:val="28"/>
        </w:rPr>
        <w:t>名指导教师。</w:t>
      </w:r>
    </w:p>
    <w:p>
      <w:pPr>
        <w:spacing w:line="480" w:lineRule="exact"/>
        <w:ind w:firstLine="560" w:firstLineChars="200"/>
        <w:rPr>
          <w:rFonts w:ascii="仿宋_GB2312" w:hAnsi="仿宋" w:eastAsia="仿宋_GB2312"/>
          <w:sz w:val="28"/>
          <w:szCs w:val="28"/>
        </w:rPr>
      </w:pPr>
      <w:r>
        <w:rPr>
          <w:rFonts w:hint="eastAsia" w:ascii="仿宋" w:hAnsi="仿宋" w:eastAsia="仿宋"/>
          <w:sz w:val="28"/>
          <w:szCs w:val="28"/>
        </w:rPr>
        <w:t>（二）</w:t>
      </w:r>
      <w:r>
        <w:rPr>
          <w:rFonts w:hint="eastAsia" w:ascii="仿宋_GB2312" w:hAnsi="仿宋" w:eastAsia="仿宋_GB2312"/>
          <w:sz w:val="28"/>
          <w:szCs w:val="28"/>
        </w:rPr>
        <w:t>竞赛时间安排</w:t>
      </w:r>
    </w:p>
    <w:tbl>
      <w:tblPr>
        <w:tblStyle w:val="8"/>
        <w:tblW w:w="90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3199"/>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60" w:type="dxa"/>
            <w:vAlign w:val="center"/>
          </w:tcPr>
          <w:p>
            <w:pPr>
              <w:spacing w:line="480" w:lineRule="exact"/>
              <w:jc w:val="center"/>
              <w:rPr>
                <w:rFonts w:ascii="仿宋_GB2312" w:hAnsi="宋体" w:eastAsia="仿宋_GB2312" w:cs="Arial"/>
                <w:bCs/>
                <w:kern w:val="0"/>
                <w:sz w:val="24"/>
              </w:rPr>
            </w:pPr>
            <w:r>
              <w:rPr>
                <w:rFonts w:hint="eastAsia" w:ascii="仿宋_GB2312" w:hAnsi="宋体" w:eastAsia="仿宋_GB2312" w:cs="Arial"/>
                <w:bCs/>
                <w:kern w:val="0"/>
                <w:sz w:val="24"/>
              </w:rPr>
              <w:t>日期</w:t>
            </w:r>
          </w:p>
        </w:tc>
        <w:tc>
          <w:tcPr>
            <w:tcW w:w="1417" w:type="dxa"/>
            <w:vAlign w:val="center"/>
          </w:tcPr>
          <w:p>
            <w:pPr>
              <w:spacing w:line="480" w:lineRule="exact"/>
              <w:jc w:val="center"/>
              <w:rPr>
                <w:rFonts w:ascii="仿宋_GB2312" w:hAnsi="宋体" w:eastAsia="仿宋_GB2312" w:cs="Arial"/>
                <w:bCs/>
                <w:kern w:val="0"/>
                <w:sz w:val="24"/>
              </w:rPr>
            </w:pPr>
            <w:r>
              <w:rPr>
                <w:rFonts w:hint="eastAsia" w:ascii="仿宋_GB2312" w:hAnsi="宋体" w:eastAsia="仿宋_GB2312" w:cs="Arial"/>
                <w:bCs/>
                <w:kern w:val="0"/>
                <w:sz w:val="24"/>
              </w:rPr>
              <w:t>时间</w:t>
            </w:r>
          </w:p>
        </w:tc>
        <w:tc>
          <w:tcPr>
            <w:tcW w:w="3199" w:type="dxa"/>
            <w:vAlign w:val="center"/>
          </w:tcPr>
          <w:p>
            <w:pPr>
              <w:snapToGrid w:val="0"/>
              <w:spacing w:line="480" w:lineRule="exact"/>
              <w:ind w:firstLine="420"/>
              <w:jc w:val="center"/>
              <w:rPr>
                <w:rFonts w:ascii="仿宋_GB2312" w:hAnsi="Arial" w:eastAsia="仿宋_GB2312" w:cs="Arial"/>
                <w:kern w:val="0"/>
                <w:sz w:val="24"/>
              </w:rPr>
            </w:pPr>
            <w:r>
              <w:rPr>
                <w:rFonts w:hint="eastAsia" w:ascii="仿宋_GB2312" w:hAnsi="Arial" w:eastAsia="仿宋_GB2312" w:cs="Arial"/>
                <w:kern w:val="0"/>
                <w:sz w:val="24"/>
              </w:rPr>
              <w:t>地点</w:t>
            </w:r>
          </w:p>
        </w:tc>
        <w:tc>
          <w:tcPr>
            <w:tcW w:w="2880" w:type="dxa"/>
            <w:vAlign w:val="center"/>
          </w:tcPr>
          <w:p>
            <w:pPr>
              <w:snapToGrid w:val="0"/>
              <w:spacing w:line="480" w:lineRule="exact"/>
              <w:ind w:firstLine="420"/>
              <w:jc w:val="center"/>
              <w:rPr>
                <w:rFonts w:ascii="仿宋_GB2312" w:hAnsi="Arial" w:eastAsia="仿宋_GB2312" w:cs="Arial"/>
                <w:kern w:val="0"/>
                <w:sz w:val="24"/>
              </w:rPr>
            </w:pPr>
            <w:r>
              <w:rPr>
                <w:rFonts w:hint="eastAsia" w:ascii="仿宋_GB2312" w:hAnsi="Arial" w:eastAsia="仿宋_GB2312" w:cs="Arial"/>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60" w:type="dxa"/>
          </w:tcPr>
          <w:p>
            <w:pPr>
              <w:spacing w:line="480" w:lineRule="exact"/>
              <w:rPr>
                <w:rFonts w:hint="eastAsia" w:ascii="仿宋_GB2312" w:hAnsi="宋体" w:eastAsia="仿宋_GB2312" w:cs="Arial"/>
                <w:bCs/>
                <w:kern w:val="0"/>
                <w:sz w:val="24"/>
                <w:lang w:val="en-US" w:eastAsia="zh-CN"/>
              </w:rPr>
            </w:pPr>
            <w:r>
              <w:rPr>
                <w:rFonts w:hint="eastAsia" w:ascii="仿宋_GB2312" w:hAnsi="宋体" w:eastAsia="仿宋_GB2312" w:cs="Arial"/>
                <w:bCs/>
                <w:kern w:val="0"/>
                <w:sz w:val="24"/>
                <w:lang w:val="en-US" w:eastAsia="zh-CN"/>
              </w:rPr>
              <w:t>2018年10月23日</w:t>
            </w:r>
          </w:p>
        </w:tc>
        <w:tc>
          <w:tcPr>
            <w:tcW w:w="1417" w:type="dxa"/>
            <w:vAlign w:val="center"/>
          </w:tcPr>
          <w:p>
            <w:pPr>
              <w:spacing w:line="480" w:lineRule="exact"/>
              <w:jc w:val="center"/>
              <w:rPr>
                <w:rFonts w:ascii="仿宋_GB2312" w:hAnsi="宋体" w:eastAsia="仿宋_GB2312" w:cs="Arial"/>
                <w:bCs/>
                <w:kern w:val="0"/>
                <w:sz w:val="24"/>
              </w:rPr>
            </w:pPr>
          </w:p>
        </w:tc>
        <w:tc>
          <w:tcPr>
            <w:tcW w:w="3199" w:type="dxa"/>
          </w:tcPr>
          <w:p>
            <w:pPr>
              <w:snapToGrid w:val="0"/>
              <w:spacing w:line="480" w:lineRule="exact"/>
              <w:jc w:val="left"/>
              <w:rPr>
                <w:rFonts w:hint="eastAsia" w:ascii="仿宋_GB2312" w:hAnsi="Arial" w:eastAsia="仿宋_GB2312" w:cs="Arial"/>
                <w:kern w:val="0"/>
                <w:sz w:val="24"/>
                <w:lang w:eastAsia="zh-CN"/>
              </w:rPr>
            </w:pPr>
            <w:r>
              <w:rPr>
                <w:rFonts w:hint="eastAsia" w:ascii="仿宋_GB2312" w:hAnsi="Arial" w:eastAsia="仿宋_GB2312" w:cs="Arial"/>
                <w:kern w:val="0"/>
                <w:sz w:val="24"/>
                <w:lang w:eastAsia="zh-CN"/>
              </w:rPr>
              <w:t>沈阳市旅游学校</w:t>
            </w:r>
          </w:p>
        </w:tc>
        <w:tc>
          <w:tcPr>
            <w:tcW w:w="2880" w:type="dxa"/>
          </w:tcPr>
          <w:p>
            <w:pPr>
              <w:snapToGrid w:val="0"/>
              <w:spacing w:line="480" w:lineRule="exact"/>
              <w:jc w:val="left"/>
              <w:rPr>
                <w:rFonts w:ascii="仿宋_GB2312" w:hAnsi="Arial" w:eastAsia="仿宋_GB2312" w:cs="Arial"/>
                <w:kern w:val="0"/>
                <w:sz w:val="24"/>
              </w:rPr>
            </w:pPr>
            <w:r>
              <w:rPr>
                <w:rFonts w:hint="eastAsia" w:ascii="仿宋_GB2312" w:hAnsi="Arial" w:eastAsia="仿宋_GB2312" w:cs="Arial"/>
                <w:kern w:val="0"/>
                <w:sz w:val="24"/>
                <w:lang w:eastAsia="zh-CN"/>
              </w:rPr>
              <w:t>中国舞</w:t>
            </w:r>
            <w:bookmarkStart w:id="0" w:name="_GoBack"/>
            <w:bookmarkEnd w:id="0"/>
            <w:r>
              <w:rPr>
                <w:rFonts w:hint="eastAsia" w:ascii="仿宋_GB2312" w:hAnsi="Arial" w:eastAsia="仿宋_GB2312" w:cs="Arial"/>
                <w:kern w:val="0"/>
                <w:sz w:val="24"/>
                <w:lang w:eastAsia="zh-CN"/>
              </w:rPr>
              <w:t>表演</w:t>
            </w:r>
            <w:r>
              <w:rPr>
                <w:rFonts w:hint="eastAsia" w:ascii="仿宋_GB2312" w:hAnsi="Arial" w:eastAsia="仿宋_GB2312" w:cs="Arial"/>
                <w:kern w:val="0"/>
                <w:sz w:val="24"/>
              </w:rPr>
              <w:t>及专业能力考查</w:t>
            </w:r>
          </w:p>
        </w:tc>
      </w:tr>
    </w:tbl>
    <w:p>
      <w:pPr>
        <w:spacing w:line="600" w:lineRule="exact"/>
        <w:ind w:firstLine="560" w:firstLineChars="200"/>
        <w:rPr>
          <w:rFonts w:ascii="仿宋" w:hAnsi="仿宋" w:eastAsia="仿宋"/>
          <w:sz w:val="28"/>
          <w:szCs w:val="28"/>
        </w:rPr>
      </w:pPr>
      <w:r>
        <w:rPr>
          <w:rFonts w:hint="eastAsia" w:ascii="仿宋" w:hAnsi="仿宋" w:eastAsia="仿宋"/>
          <w:sz w:val="28"/>
          <w:szCs w:val="28"/>
        </w:rPr>
        <w:t>比赛分两轮进行，全体选手参加第一轮比赛。比赛结束，按得分顺序，由高到低取选手总数的</w:t>
      </w:r>
      <w:r>
        <w:rPr>
          <w:rFonts w:ascii="仿宋" w:hAnsi="仿宋" w:eastAsia="仿宋"/>
          <w:sz w:val="28"/>
          <w:szCs w:val="28"/>
        </w:rPr>
        <w:t>60%</w:t>
      </w:r>
      <w:r>
        <w:rPr>
          <w:rFonts w:hint="eastAsia" w:ascii="仿宋" w:hAnsi="仿宋" w:eastAsia="仿宋"/>
          <w:sz w:val="28"/>
          <w:szCs w:val="28"/>
        </w:rPr>
        <w:t>进入第二轮比赛。第二轮比赛结束，按总分高低决定选手获奖等次。</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五、竞赛流程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（一）报到抽签</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各代表队于指定时间到指定地点报到，进行参赛时间、顺序和分组的抽签；大赛办召开领队会议通报比赛有关情况及要求。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（二）参赛准备</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参赛选手按大赛办统一安排，在指定时间到指定排练场进行赛前练习，到比赛场地走台。</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（三）正式比赛</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参赛选手按抽签时间、顺序及规定流程到赛场检录、候赛、参赛。进入第二轮比赛的选手仍沿用第一轮抽签顺序，按规定流程参加比赛。</w:t>
      </w:r>
    </w:p>
    <w:p>
      <w:pPr>
        <w:spacing w:line="600" w:lineRule="exact"/>
        <w:rPr>
          <w:rFonts w:ascii="仿宋" w:hAnsi="仿宋" w:eastAsia="仿宋"/>
          <w:sz w:val="28"/>
          <w:szCs w:val="28"/>
        </w:rPr>
      </w:pPr>
      <w:r>
        <w:rPr>
          <w:rFonts w:hint="eastAsia" w:ascii="仿宋" w:hAnsi="仿宋" w:eastAsia="仿宋"/>
          <w:sz w:val="28"/>
          <w:szCs w:val="28"/>
        </w:rPr>
        <w:t>竞赛流程具体时间安排，待参加决赛人数确定后公布。</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六、竞赛规则</w:t>
      </w:r>
    </w:p>
    <w:p>
      <w:pPr>
        <w:spacing w:line="600" w:lineRule="exact"/>
        <w:rPr>
          <w:rFonts w:ascii="仿宋" w:hAnsi="仿宋" w:eastAsia="仿宋"/>
          <w:sz w:val="28"/>
          <w:szCs w:val="28"/>
        </w:rPr>
      </w:pPr>
      <w:r>
        <w:rPr>
          <w:rFonts w:hint="eastAsia" w:ascii="仿宋" w:hAnsi="仿宋" w:eastAsia="仿宋"/>
          <w:sz w:val="28"/>
          <w:szCs w:val="28"/>
        </w:rPr>
        <w:t xml:space="preserve">   （一）所有参赛选手均须为全日制正式学籍中等职业学校在校学生。五年制高职一至三年级（含三年级）学生可报名参加中职组比赛。中职组年龄须不超过</w:t>
      </w:r>
      <w:r>
        <w:rPr>
          <w:rFonts w:ascii="仿宋" w:hAnsi="仿宋" w:eastAsia="仿宋"/>
          <w:sz w:val="28"/>
          <w:szCs w:val="28"/>
        </w:rPr>
        <w:t>21</w:t>
      </w:r>
      <w:r>
        <w:rPr>
          <w:rFonts w:hint="eastAsia" w:ascii="仿宋" w:hAnsi="仿宋" w:eastAsia="仿宋"/>
          <w:sz w:val="28"/>
          <w:szCs w:val="28"/>
        </w:rPr>
        <w:t>周岁（年龄计算截止时间为</w:t>
      </w:r>
      <w:r>
        <w:rPr>
          <w:rFonts w:ascii="仿宋" w:hAnsi="仿宋" w:eastAsia="仿宋"/>
          <w:sz w:val="28"/>
          <w:szCs w:val="28"/>
        </w:rPr>
        <w:t>201</w:t>
      </w:r>
      <w:r>
        <w:rPr>
          <w:rFonts w:hint="eastAsia" w:ascii="仿宋" w:hAnsi="仿宋" w:eastAsia="仿宋"/>
          <w:sz w:val="28"/>
          <w:szCs w:val="28"/>
        </w:rPr>
        <w:t>8年</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参赛选手在报名获得审核确认后，原则上不得更换。如在准备过程中因特殊情况确需更换选手，须由所在学校主管部门出具书面说明，按相关规定更换选手并接受审核。比赛开始后，一律不得更换参赛选手，允许选手缺席比赛。</w:t>
      </w:r>
    </w:p>
    <w:p>
      <w:pPr>
        <w:spacing w:line="600" w:lineRule="exact"/>
        <w:rPr>
          <w:rFonts w:ascii="仿宋" w:hAnsi="仿宋" w:eastAsia="仿宋"/>
          <w:sz w:val="28"/>
          <w:szCs w:val="28"/>
        </w:rPr>
      </w:pPr>
      <w:r>
        <w:rPr>
          <w:rFonts w:hint="eastAsia" w:ascii="仿宋" w:hAnsi="仿宋" w:eastAsia="仿宋"/>
          <w:sz w:val="28"/>
          <w:szCs w:val="28"/>
        </w:rPr>
        <w:t xml:space="preserve">   （三）参赛选手具体比赛时间、顺序由抽签决定。选手须持本人身份证、学生证及统一签发的参赛证参加比赛；须提前在规定时间内到达赛区现场检录；迟到超过</w:t>
      </w:r>
      <w:r>
        <w:rPr>
          <w:rFonts w:ascii="仿宋" w:hAnsi="仿宋" w:eastAsia="仿宋"/>
          <w:sz w:val="28"/>
          <w:szCs w:val="28"/>
        </w:rPr>
        <w:t>15</w:t>
      </w:r>
      <w:r>
        <w:rPr>
          <w:rFonts w:hint="eastAsia" w:ascii="仿宋" w:hAnsi="仿宋" w:eastAsia="仿宋"/>
          <w:sz w:val="28"/>
          <w:szCs w:val="28"/>
        </w:rPr>
        <w:t>分钟的选手，视作弃权，不得入场比赛。</w:t>
      </w:r>
    </w:p>
    <w:p>
      <w:pPr>
        <w:spacing w:line="600" w:lineRule="exact"/>
        <w:rPr>
          <w:rFonts w:ascii="仿宋" w:hAnsi="仿宋" w:eastAsia="仿宋"/>
          <w:sz w:val="28"/>
          <w:szCs w:val="28"/>
        </w:rPr>
      </w:pPr>
      <w:r>
        <w:rPr>
          <w:rFonts w:hint="eastAsia" w:ascii="仿宋" w:hAnsi="仿宋" w:eastAsia="仿宋"/>
          <w:sz w:val="28"/>
          <w:szCs w:val="28"/>
        </w:rPr>
        <w:t xml:space="preserve">   （四）参赛选手不得携带任何书籍、纸质资料、通讯工具和储存设备（如</w:t>
      </w:r>
      <w:r>
        <w:rPr>
          <w:rFonts w:ascii="仿宋" w:hAnsi="仿宋" w:eastAsia="仿宋"/>
          <w:sz w:val="28"/>
          <w:szCs w:val="28"/>
        </w:rPr>
        <w:t>U</w:t>
      </w:r>
      <w:r>
        <w:rPr>
          <w:rFonts w:hint="eastAsia" w:ascii="仿宋" w:hAnsi="仿宋" w:eastAsia="仿宋"/>
          <w:sz w:val="28"/>
          <w:szCs w:val="28"/>
        </w:rPr>
        <w:t>盘）进入赛场，一旦发现，视同作弊。</w:t>
      </w:r>
    </w:p>
    <w:p>
      <w:pPr>
        <w:spacing w:line="600" w:lineRule="exact"/>
        <w:rPr>
          <w:rFonts w:ascii="仿宋" w:hAnsi="仿宋" w:eastAsia="仿宋"/>
          <w:sz w:val="28"/>
          <w:szCs w:val="28"/>
        </w:rPr>
      </w:pPr>
      <w:r>
        <w:rPr>
          <w:rFonts w:hint="eastAsia" w:ascii="仿宋" w:hAnsi="仿宋" w:eastAsia="仿宋"/>
          <w:sz w:val="28"/>
          <w:szCs w:val="28"/>
        </w:rPr>
        <w:t xml:space="preserve">   （五）所有比赛项目均须在规定时间内完成，超时、缺项将扣分。</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七、竞赛环境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第一轮和第二轮专业拓展能力（即兴表演）考察在实训室举行。</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比赛场地均配有相应的设施设备，采光、照明、通风、控温良好。赛场有保安、消防、设备维修和电力抢险等人员待命，并设置安全应急通道，以防突发事件。赛场配备医疗、生活补给等服务站点，为选手和工作人员提供服务。</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比赛场地划分为检录区、备赛区、评委区、观摩区、设备区、休息区、观摩通道等区域，区域之间有明显标志或警示带。</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八、技术规范</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（一）剧目片段表演的伴奏音乐一律采用</w:t>
      </w:r>
      <w:r>
        <w:rPr>
          <w:rFonts w:ascii="仿宋" w:hAnsi="仿宋" w:eastAsia="仿宋"/>
          <w:sz w:val="28"/>
          <w:szCs w:val="28"/>
        </w:rPr>
        <w:t>U</w:t>
      </w:r>
      <w:r>
        <w:rPr>
          <w:rFonts w:hint="eastAsia" w:ascii="仿宋" w:hAnsi="仿宋" w:eastAsia="仿宋"/>
          <w:sz w:val="28"/>
          <w:szCs w:val="28"/>
        </w:rPr>
        <w:t>盘。伴奏须自行制作成音乐文件（统一为</w:t>
      </w:r>
      <w:r>
        <w:rPr>
          <w:rFonts w:ascii="仿宋" w:hAnsi="仿宋" w:eastAsia="仿宋"/>
          <w:sz w:val="28"/>
          <w:szCs w:val="28"/>
        </w:rPr>
        <w:t>MP3</w:t>
      </w:r>
      <w:r>
        <w:rPr>
          <w:rFonts w:hint="eastAsia" w:ascii="仿宋" w:hAnsi="仿宋" w:eastAsia="仿宋"/>
          <w:sz w:val="28"/>
          <w:szCs w:val="28"/>
        </w:rPr>
        <w:t>格式），在决赛前按大赛办指定时间上传至指定邮箱。</w:t>
      </w:r>
    </w:p>
    <w:p>
      <w:pPr>
        <w:spacing w:line="6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（二）剧目片段表演穿剧目服装。技术技巧展示穿着练功服</w:t>
      </w:r>
      <w:r>
        <w:rPr>
          <w:rFonts w:ascii="仿宋" w:hAnsi="仿宋" w:eastAsia="仿宋"/>
          <w:sz w:val="28"/>
          <w:szCs w:val="28"/>
        </w:rPr>
        <w:t>:</w:t>
      </w:r>
      <w:r>
        <w:rPr>
          <w:rFonts w:hint="eastAsia" w:ascii="仿宋" w:hAnsi="仿宋" w:eastAsia="仿宋"/>
          <w:sz w:val="28"/>
          <w:szCs w:val="28"/>
        </w:rPr>
        <w:t>女生穿练功服、肉色裤袜，盘头；男生为短袖</w:t>
      </w:r>
      <w:r>
        <w:rPr>
          <w:rFonts w:ascii="仿宋" w:hAnsi="仿宋" w:eastAsia="仿宋"/>
          <w:sz w:val="28"/>
          <w:szCs w:val="28"/>
        </w:rPr>
        <w:t>T</w:t>
      </w:r>
      <w:r>
        <w:rPr>
          <w:rFonts w:hint="eastAsia" w:ascii="仿宋" w:hAnsi="仿宋" w:eastAsia="仿宋"/>
          <w:sz w:val="28"/>
          <w:szCs w:val="28"/>
        </w:rPr>
        <w:t>恤、练功裤。专业拓展能力（动作模仿与即兴表演）穿着练功服</w:t>
      </w:r>
      <w:r>
        <w:rPr>
          <w:rFonts w:ascii="仿宋" w:hAnsi="仿宋" w:eastAsia="仿宋"/>
          <w:sz w:val="28"/>
          <w:szCs w:val="28"/>
        </w:rPr>
        <w:t xml:space="preserve">: </w:t>
      </w:r>
      <w:r>
        <w:rPr>
          <w:rFonts w:hint="eastAsia" w:ascii="仿宋" w:hAnsi="仿宋" w:eastAsia="仿宋"/>
          <w:sz w:val="28"/>
          <w:szCs w:val="28"/>
        </w:rPr>
        <w:t>男女生均为短袖</w:t>
      </w:r>
      <w:r>
        <w:rPr>
          <w:rFonts w:ascii="仿宋" w:hAnsi="仿宋" w:eastAsia="仿宋"/>
          <w:sz w:val="28"/>
          <w:szCs w:val="28"/>
        </w:rPr>
        <w:t>T</w:t>
      </w:r>
      <w:r>
        <w:rPr>
          <w:rFonts w:hint="eastAsia" w:ascii="仿宋" w:hAnsi="仿宋" w:eastAsia="仿宋"/>
          <w:sz w:val="28"/>
          <w:szCs w:val="28"/>
        </w:rPr>
        <w:t>恤、练功长裤。</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（三）剧目灯光为基本光。</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九、技术平台</w:t>
      </w:r>
    </w:p>
    <w:p>
      <w:pPr>
        <w:spacing w:line="600" w:lineRule="exact"/>
        <w:ind w:firstLine="560"/>
        <w:rPr>
          <w:rFonts w:ascii="仿宋" w:hAnsi="仿宋" w:eastAsia="仿宋"/>
          <w:sz w:val="28"/>
          <w:szCs w:val="28"/>
        </w:rPr>
      </w:pPr>
      <w:r>
        <w:rPr>
          <w:rFonts w:hint="eastAsia" w:ascii="仿宋" w:hAnsi="仿宋" w:eastAsia="仿宋"/>
          <w:sz w:val="28"/>
          <w:szCs w:val="28"/>
        </w:rPr>
        <w:t>（一）专业舞蹈实训室</w:t>
      </w:r>
    </w:p>
    <w:p>
      <w:pPr>
        <w:spacing w:line="600" w:lineRule="exact"/>
        <w:rPr>
          <w:rFonts w:ascii="仿宋" w:hAnsi="仿宋" w:eastAsia="仿宋"/>
          <w:sz w:val="28"/>
          <w:szCs w:val="28"/>
        </w:rPr>
      </w:pPr>
      <w:r>
        <w:rPr>
          <w:rFonts w:hint="eastAsia" w:ascii="仿宋" w:hAnsi="仿宋" w:eastAsia="仿宋"/>
          <w:sz w:val="28"/>
          <w:szCs w:val="28"/>
        </w:rPr>
        <w:t xml:space="preserve">    （二）配备常规灯。</w:t>
      </w:r>
    </w:p>
    <w:p>
      <w:pPr>
        <w:spacing w:line="600" w:lineRule="exact"/>
        <w:rPr>
          <w:rFonts w:ascii="仿宋" w:hAnsi="仿宋" w:eastAsia="仿宋"/>
          <w:sz w:val="28"/>
          <w:szCs w:val="28"/>
        </w:rPr>
      </w:pPr>
      <w:r>
        <w:rPr>
          <w:rFonts w:hint="eastAsia" w:ascii="仿宋" w:hAnsi="仿宋" w:eastAsia="仿宋"/>
          <w:sz w:val="28"/>
          <w:szCs w:val="28"/>
        </w:rPr>
        <w:t xml:space="preserve">    </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十、成绩评定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（一）评分标准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1.舞蹈剧目片断表演，依据选手的专业素质、技术技巧、对作品的艺术表现能力和水平、以及作品的难度等因素，确定标准，综合评分。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2.技术技巧展示，依据选手动作模仿的质量，与音乐的吻合度、动作编排、创意及表演水平等因素，确定标准，综合评分。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.舞蹈素养，依据选手现场回答问题的准确程度进行评分。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第一轮比赛分值权重为</w:t>
      </w:r>
      <w:r>
        <w:rPr>
          <w:rFonts w:ascii="仿宋" w:hAnsi="仿宋" w:eastAsia="仿宋"/>
          <w:sz w:val="28"/>
          <w:szCs w:val="28"/>
        </w:rPr>
        <w:t>60</w:t>
      </w:r>
      <w:r>
        <w:rPr>
          <w:rFonts w:hint="eastAsia" w:ascii="仿宋" w:hAnsi="仿宋" w:eastAsia="仿宋"/>
          <w:sz w:val="28"/>
          <w:szCs w:val="28"/>
        </w:rPr>
        <w:t>％，第二轮比赛分值权重为</w:t>
      </w:r>
      <w:r>
        <w:rPr>
          <w:rFonts w:ascii="仿宋" w:hAnsi="仿宋" w:eastAsia="仿宋"/>
          <w:sz w:val="28"/>
          <w:szCs w:val="28"/>
        </w:rPr>
        <w:t>40</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（二）评分方法</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比赛评分遵循科学合理、切实严谨、公平公正的原则，既全面衡量，又突出重点；既重视基础水平和质量，又重视综合表现、应用和创造能力；专业性与职业性相结合。</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评分采取由评审委员会当场集体评分的方法。每位评委独立评分；由专门人员在统一时间收取评分表；计算得出其它分数的平均分，即为选手的比赛得分。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3.分数采用百分制。每项比赛内容满分均为</w:t>
      </w:r>
      <w:r>
        <w:rPr>
          <w:rFonts w:ascii="仿宋" w:hAnsi="仿宋" w:eastAsia="仿宋"/>
          <w:sz w:val="28"/>
          <w:szCs w:val="28"/>
        </w:rPr>
        <w:t>100</w:t>
      </w:r>
      <w:r>
        <w:rPr>
          <w:rFonts w:hint="eastAsia" w:ascii="仿宋" w:hAnsi="仿宋" w:eastAsia="仿宋"/>
          <w:sz w:val="28"/>
          <w:szCs w:val="28"/>
        </w:rPr>
        <w:t>分。参赛选手的最后总得分，由每项比赛得分计算后相加而成。</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十一、奖项设定</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（一）参赛选手个人奖，设一、二、三等奖。以参赛选手总数为基数，一等奖占比</w:t>
      </w:r>
      <w:r>
        <w:rPr>
          <w:rFonts w:ascii="仿宋" w:hAnsi="仿宋" w:eastAsia="仿宋"/>
          <w:sz w:val="28"/>
          <w:szCs w:val="28"/>
        </w:rPr>
        <w:t>10%</w:t>
      </w:r>
      <w:r>
        <w:rPr>
          <w:rFonts w:hint="eastAsia" w:ascii="仿宋" w:hAnsi="仿宋" w:eastAsia="仿宋"/>
          <w:sz w:val="28"/>
          <w:szCs w:val="28"/>
        </w:rPr>
        <w:t>，二等奖占比</w:t>
      </w:r>
      <w:r>
        <w:rPr>
          <w:rFonts w:ascii="仿宋" w:hAnsi="仿宋" w:eastAsia="仿宋"/>
          <w:sz w:val="28"/>
          <w:szCs w:val="28"/>
        </w:rPr>
        <w:t>20%</w:t>
      </w:r>
      <w:r>
        <w:rPr>
          <w:rFonts w:hint="eastAsia" w:ascii="仿宋" w:hAnsi="仿宋" w:eastAsia="仿宋"/>
          <w:sz w:val="28"/>
          <w:szCs w:val="28"/>
        </w:rPr>
        <w:t>，三等奖占比</w:t>
      </w:r>
      <w:r>
        <w:rPr>
          <w:rFonts w:ascii="仿宋" w:hAnsi="仿宋" w:eastAsia="仿宋"/>
          <w:sz w:val="28"/>
          <w:szCs w:val="28"/>
        </w:rPr>
        <w:t>30%</w:t>
      </w:r>
      <w:r>
        <w:rPr>
          <w:rFonts w:hint="eastAsia" w:ascii="仿宋" w:hAnsi="仿宋" w:eastAsia="仿宋"/>
          <w:sz w:val="28"/>
          <w:szCs w:val="28"/>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（二）优秀指导教师奖。获得一等奖的参赛选手指导教师由大赛组委会颁发优秀指导教师证书。</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十二、赛项安全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赛事安全是技能竞赛一切工作顺利开展的先决条件，是赛事筹备和运行工作必须考虑的核心问题。大赛办采取切实有效措施保证大赛期间参赛选手、指导教师、裁判员、工作人员及观众的人身安全。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（一）比赛环境</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大赛办须在赛前组织专人对比赛现场进行考察，并对安全工作提出明确要求。赛场的布置，赛场内的器材、设备，应符合国家有关安全规定。如有必要，也可进行赛场仿真模拟测试，以发现可能出现的问题。承办单位赛前须按照大赛办要求排除安全隐患。</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赛场周围要设立警戒线，要求所有参赛人员必须凭大赛办印发的有效证件进入场地，防止无关人员进入发生意外事件。比赛现场内应参照相关职业岗位的要求为选手提供必要的劳动保护。在具有危险性的操作环节，裁判员要严防选手出现错误操作。</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承办单位应提供保证应急预案实施的条件。对于比赛内容涉及高空作业、可能有坠物、大用电量、易发生火灾等情况的赛项，必须明确制度和预案，并配备急救人员与设施。</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4.</w:t>
      </w:r>
      <w:r>
        <w:rPr>
          <w:rFonts w:hint="eastAsia" w:ascii="仿宋" w:hAnsi="仿宋" w:eastAsia="仿宋"/>
          <w:sz w:val="28"/>
          <w:szCs w:val="28"/>
        </w:rPr>
        <w:t>严格控制与参赛无关的易燃易爆以及各类危险品进入比赛场地，不许随便携带书包进入赛场。</w:t>
      </w:r>
    </w:p>
    <w:p>
      <w:pPr>
        <w:spacing w:line="600" w:lineRule="exact"/>
        <w:rPr>
          <w:rFonts w:ascii="仿宋" w:hAnsi="仿宋" w:eastAsia="仿宋"/>
          <w:sz w:val="28"/>
          <w:szCs w:val="28"/>
        </w:rPr>
      </w:pPr>
      <w:r>
        <w:rPr>
          <w:rFonts w:hint="eastAsia" w:ascii="仿宋" w:hAnsi="仿宋" w:eastAsia="仿宋"/>
          <w:sz w:val="28"/>
          <w:szCs w:val="28"/>
        </w:rPr>
        <w:t xml:space="preserve">    5.大赛现场需对赛场进行网络安全控制，以免场内外信息交互，充分体现大赛的严肃、公平和公正性。</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6.大赛办须会同承办单位制定开放赛场和体验区的人员疏导方案。赛场环境中存在人员密集、车流人流交错的区域，设置齐全的指示标志外，安排引导人员。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大赛期间，承办单位须在赛场管理的关键岗位，增加力量，建立安全管理方案。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（二）生活条件</w:t>
      </w:r>
    </w:p>
    <w:p>
      <w:pPr>
        <w:spacing w:line="600" w:lineRule="exact"/>
        <w:rPr>
          <w:rFonts w:ascii="仿宋" w:hAnsi="仿宋" w:eastAsia="仿宋"/>
          <w:sz w:val="28"/>
          <w:szCs w:val="28"/>
        </w:rPr>
      </w:pPr>
      <w:r>
        <w:rPr>
          <w:rFonts w:hint="eastAsia" w:ascii="仿宋" w:hAnsi="仿宋" w:eastAsia="仿宋"/>
          <w:sz w:val="28"/>
          <w:szCs w:val="28"/>
        </w:rPr>
        <w:t xml:space="preserve">    1.比赛期间，由大赛办统一安排参赛选手和指导教师午餐。承办单位须尊重少数民族的信仰及文化，根据国家相关的民族政策，安排好少数民族选手和教师的饮食起居。</w:t>
      </w:r>
    </w:p>
    <w:p>
      <w:pPr>
        <w:spacing w:line="600" w:lineRule="exact"/>
        <w:ind w:firstLine="57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各赛项的安全管理，除了可以采取必要的安全隔离措施外，应严格遵守国家相关法律法规，保护个人隐私和人身自由。</w:t>
      </w:r>
    </w:p>
    <w:p>
      <w:pPr>
        <w:spacing w:line="600" w:lineRule="exact"/>
        <w:ind w:firstLine="570"/>
        <w:rPr>
          <w:rFonts w:ascii="仿宋" w:hAnsi="仿宋" w:eastAsia="仿宋"/>
          <w:sz w:val="28"/>
          <w:szCs w:val="28"/>
        </w:rPr>
      </w:pPr>
      <w:r>
        <w:rPr>
          <w:rFonts w:hint="eastAsia" w:ascii="仿宋" w:hAnsi="仿宋" w:eastAsia="仿宋"/>
          <w:sz w:val="28"/>
          <w:szCs w:val="28"/>
        </w:rPr>
        <w:t>（三）组队责任</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各学校组织代表队时，须安排为参赛选手购买大赛期间的人身意外伤害保险。</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各学校代表队组成后，须制定相关管理制度，并对所有选手、指导教师进行安全教育。</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各参赛队伍须加强对参与比赛人员的安全管理，实现与赛场安全管理的对接。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（四）应急处理</w:t>
      </w:r>
    </w:p>
    <w:p>
      <w:pPr>
        <w:spacing w:line="600" w:lineRule="exact"/>
        <w:rPr>
          <w:rFonts w:ascii="仿宋" w:hAnsi="仿宋" w:eastAsia="仿宋"/>
          <w:sz w:val="28"/>
          <w:szCs w:val="28"/>
        </w:rPr>
      </w:pPr>
      <w:r>
        <w:rPr>
          <w:rFonts w:hint="eastAsia" w:ascii="仿宋" w:hAnsi="仿宋" w:eastAsia="仿宋"/>
          <w:sz w:val="28"/>
          <w:szCs w:val="28"/>
        </w:rPr>
        <w:t xml:space="preserve">    比赛期间发生意外事故，发现者应第一时间报告大赛办，同时采取措施避免事态扩大。大赛办应立即启动预案予以解决并报告组委会。赛项出现重大安全问题可以停赛，是否停赛由大赛办决定。事后，大赛办应向组委会报告详细情况。</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（五）处罚措施</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1.</w:t>
      </w:r>
      <w:r>
        <w:rPr>
          <w:rFonts w:hint="eastAsia" w:ascii="仿宋" w:hAnsi="仿宋" w:eastAsia="仿宋"/>
          <w:sz w:val="28"/>
          <w:szCs w:val="28"/>
        </w:rPr>
        <w:t>因参赛队伍原因造成重大安全事故的，取消其获奖资格。</w:t>
      </w:r>
    </w:p>
    <w:p>
      <w:pPr>
        <w:spacing w:line="600" w:lineRule="exact"/>
        <w:ind w:firstLine="420" w:firstLineChars="15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参赛队伍有发生重大安全事故隐患，经赛场工作人员提示、警告无效的，可取消其继续比赛的资格。</w:t>
      </w:r>
    </w:p>
    <w:p>
      <w:pPr>
        <w:spacing w:line="60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3.</w:t>
      </w:r>
      <w:r>
        <w:rPr>
          <w:rFonts w:hint="eastAsia" w:ascii="仿宋" w:hAnsi="仿宋" w:eastAsia="仿宋"/>
          <w:sz w:val="28"/>
          <w:szCs w:val="28"/>
        </w:rPr>
        <w:t>赛事工作人员违规的，按照相应的制度追究责任。情节恶劣并造成重大安全事故的，由司法机关追究相应法律责任。</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十三、竞赛须知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（一）参赛队须知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参赛选手、指导教师、参赛曲目在报名获得确认后，不得更换。</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参赛队须为参赛选手购买保险。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（二）领队、指导教师须知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按要求准时参加领队会等会议，并认真传达、落实会议精神，协助大赛办组织好本队选手参赛的相关事宜。</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按时参加抽签活动，确认比赛出场顺序，确保本队参赛选手准时参加各项比赛。</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熟悉比赛流程，妥善安排好本队人员每天的吃、住、行等日常生活，保证安全。与相关赛务工作小组保持联系。</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贯彻执行比赛的各项规定，比赛期间不得私自接触评委。</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参赛队对评分、评奖、处罚等有异议拟申诉的，统一由领队在评分、评奖结果和处罚决定公布后</w:t>
      </w:r>
      <w:r>
        <w:rPr>
          <w:rFonts w:ascii="仿宋" w:hAnsi="仿宋" w:eastAsia="仿宋"/>
          <w:sz w:val="28"/>
          <w:szCs w:val="28"/>
        </w:rPr>
        <w:t>2</w:t>
      </w:r>
      <w:r>
        <w:rPr>
          <w:rFonts w:hint="eastAsia" w:ascii="仿宋" w:hAnsi="仿宋" w:eastAsia="仿宋"/>
          <w:sz w:val="28"/>
          <w:szCs w:val="28"/>
        </w:rPr>
        <w:t>小时内，向赛项仲裁工作组递交书面申诉报告。过时或口头申诉不予受理。</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做好本队人员的思想教育和选手业务辅导、心理疏导工作，引导参赛选手团结友爱，互相协作，树立良好的赛风。</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自觉遵守比赛规则，尊重和支持评委和会务工作人员的工作，不随意进入比赛及其他禁止入内的区域，确保比赛进程的公平、公正、顺利、高效。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（三）参赛选手须知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参赛选手须持本人身份证、学生证及统一签发的参赛证参加比赛；须提前在规定时间内到达赛区现场检录；迟到超过</w:t>
      </w:r>
      <w:r>
        <w:rPr>
          <w:rFonts w:ascii="仿宋" w:hAnsi="仿宋" w:eastAsia="仿宋"/>
          <w:sz w:val="28"/>
          <w:szCs w:val="28"/>
        </w:rPr>
        <w:t>15</w:t>
      </w:r>
      <w:r>
        <w:rPr>
          <w:rFonts w:hint="eastAsia" w:ascii="仿宋" w:hAnsi="仿宋" w:eastAsia="仿宋"/>
          <w:sz w:val="28"/>
          <w:szCs w:val="28"/>
        </w:rPr>
        <w:t>分钟的选手，视作弃权，不得入场比赛。</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选手由引导员引导进入赛场，并在指定地点等候比赛，不得随意走动，不得大声喧哗。</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选手不得携带任何书籍、纸质资料、通讯工具和存储设备（如</w:t>
      </w:r>
      <w:r>
        <w:rPr>
          <w:rFonts w:ascii="仿宋" w:hAnsi="仿宋" w:eastAsia="仿宋"/>
          <w:sz w:val="28"/>
          <w:szCs w:val="28"/>
        </w:rPr>
        <w:t>U</w:t>
      </w:r>
      <w:r>
        <w:rPr>
          <w:rFonts w:hint="eastAsia" w:ascii="仿宋" w:hAnsi="仿宋" w:eastAsia="仿宋"/>
          <w:sz w:val="28"/>
          <w:szCs w:val="28"/>
        </w:rPr>
        <w:t>盘）进入赛场，一旦发现，视同作弊。</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所有比赛项目均须在规定时间内完成，超时或缺项将扣分。选手比赛结束，即跟随引导员离开赛场，不得在赛场滞留。</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在比赛过程中，要严格按照规定程序进行操作，爱护比赛现场的设备和器材，注意安全，防止意外事故发生。</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参赛选手应遵守比赛规则和赛场纪律，服从比赛大赛办的指挥和工作人员的安排。诚信参赛，拒绝舞弊，一旦发现弄虚作假等舞弊行为，即取消该选手的比赛资格和成绩，并通报批评。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（四）工作人员须知</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必须服从大赛办统一指挥，认真履行职责，做好比赛各项服务工作。按时到岗，尽职尽责做好分配的各项工作，保证比赛顺利进行。</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协助大赛办做好抽签、检录、计时和统分等工作。认真检查、核准选手证件，引领选手进入和离开赛场，不得带领非参赛选手进入赛场。</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如遇突发事件，要及时向大赛办报告，同时做好疏导工作，避免重大事故发生，确保比赛圆满成功。</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不得在赛场内接听或打电话。坚守岗位，不做与工作岗位无关的事项。</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十四、申诉与仲裁</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本赛项在比赛过程中若出现有失公正或有关人员违规等现象，参赛队领队可在比赛结束后</w:t>
      </w:r>
      <w:r>
        <w:rPr>
          <w:rFonts w:ascii="仿宋" w:hAnsi="仿宋" w:eastAsia="仿宋"/>
          <w:sz w:val="28"/>
          <w:szCs w:val="28"/>
        </w:rPr>
        <w:t>2</w:t>
      </w:r>
      <w:r>
        <w:rPr>
          <w:rFonts w:hint="eastAsia" w:ascii="仿宋" w:hAnsi="仿宋" w:eastAsia="仿宋"/>
          <w:sz w:val="28"/>
          <w:szCs w:val="28"/>
        </w:rPr>
        <w:t>小时之内向仲裁组提出书面申诉。</w:t>
      </w:r>
      <w:r>
        <w:rPr>
          <w:rFonts w:ascii="仿宋" w:hAnsi="仿宋" w:eastAsia="仿宋"/>
          <w:sz w:val="28"/>
          <w:szCs w:val="28"/>
        </w:rPr>
        <w:t xml:space="preserve">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书面申诉应对申诉事件的现象、发生时间、涉及人员、申诉依据等进行充分、实事求是的叙述，并由领队亲笔签名。非书面申诉不予受理。</w:t>
      </w:r>
      <w:r>
        <w:rPr>
          <w:rFonts w:ascii="仿宋" w:hAnsi="仿宋" w:eastAsia="仿宋"/>
          <w:sz w:val="28"/>
          <w:szCs w:val="28"/>
        </w:rPr>
        <w:t xml:space="preserve">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赛项仲裁工作组在接到申诉报告后的</w:t>
      </w:r>
      <w:r>
        <w:rPr>
          <w:rFonts w:ascii="仿宋" w:hAnsi="仿宋" w:eastAsia="仿宋"/>
          <w:sz w:val="28"/>
          <w:szCs w:val="28"/>
        </w:rPr>
        <w:t>2</w:t>
      </w:r>
      <w:r>
        <w:rPr>
          <w:rFonts w:hint="eastAsia" w:ascii="仿宋" w:hAnsi="仿宋" w:eastAsia="仿宋"/>
          <w:sz w:val="28"/>
          <w:szCs w:val="28"/>
        </w:rPr>
        <w:t>小时内组织复议，并及时将复议结果以书面形式告知申诉方，仲裁结果为最终结果。</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十五、竞赛观摩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比赛观摩对象为参赛院校师生及有关从业人员。观摩要求：</w:t>
      </w:r>
      <w:r>
        <w:rPr>
          <w:rFonts w:ascii="仿宋" w:hAnsi="仿宋" w:eastAsia="仿宋"/>
          <w:sz w:val="28"/>
          <w:szCs w:val="28"/>
        </w:rPr>
        <w:t xml:space="preserve">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1.观摩凭选手证、领队证、指导教师证、工作证等相关证件入场；</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2.不得喧哗，不得对场上比赛选手做出任何提示或干扰，不得进入评委席，不得干扰评委正常工作；</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3.若出现干扰比赛正常进行的行为，工作人员有权将相关人员带离现场。</w:t>
      </w:r>
    </w:p>
    <w:p>
      <w:pPr>
        <w:spacing w:line="600" w:lineRule="exact"/>
        <w:ind w:firstLine="562" w:firstLineChars="200"/>
        <w:rPr>
          <w:rFonts w:ascii="仿宋" w:hAnsi="仿宋" w:eastAsia="仿宋"/>
          <w:b/>
          <w:sz w:val="28"/>
          <w:szCs w:val="28"/>
        </w:rPr>
      </w:pPr>
      <w:r>
        <w:rPr>
          <w:rFonts w:hint="eastAsia" w:ascii="仿宋" w:hAnsi="仿宋" w:eastAsia="仿宋"/>
          <w:b/>
          <w:sz w:val="28"/>
          <w:szCs w:val="28"/>
        </w:rPr>
        <w:t>十六、竞赛录像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大赛办要安排对全部比赛过程无盲点录像，突出赛项重点与优势特色，为大赛宣传和资源转化提供全面的信息资料。</w:t>
      </w:r>
    </w:p>
    <w:p>
      <w:pPr>
        <w:spacing w:line="600" w:lineRule="exact"/>
        <w:ind w:firstLine="551" w:firstLineChars="196"/>
        <w:rPr>
          <w:rFonts w:ascii="仿宋" w:hAnsi="仿宋" w:eastAsia="仿宋"/>
          <w:b/>
          <w:sz w:val="28"/>
          <w:szCs w:val="28"/>
        </w:rPr>
      </w:pPr>
      <w:r>
        <w:rPr>
          <w:rFonts w:hint="eastAsia" w:ascii="仿宋" w:hAnsi="仿宋" w:eastAsia="仿宋"/>
          <w:b/>
          <w:sz w:val="28"/>
          <w:szCs w:val="28"/>
        </w:rPr>
        <w:t>十七、资源转化</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（一）赛项资源的整理归类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赛项结束后</w:t>
      </w:r>
      <w:r>
        <w:rPr>
          <w:rFonts w:ascii="仿宋" w:hAnsi="仿宋" w:eastAsia="仿宋"/>
          <w:sz w:val="28"/>
          <w:szCs w:val="28"/>
        </w:rPr>
        <w:t>1</w:t>
      </w:r>
      <w:r>
        <w:rPr>
          <w:rFonts w:hint="eastAsia" w:ascii="仿宋" w:hAnsi="仿宋" w:eastAsia="仿宋"/>
          <w:sz w:val="28"/>
          <w:szCs w:val="28"/>
        </w:rPr>
        <w:t>个月内完成竞赛资源的整理与归档，并在此基础上完成制定资源转化方案。</w:t>
      </w:r>
    </w:p>
    <w:p>
      <w:pPr>
        <w:spacing w:line="6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（二）教学资源转化方案</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1.在赛项结束</w:t>
      </w:r>
      <w:r>
        <w:rPr>
          <w:rFonts w:ascii="仿宋" w:hAnsi="仿宋" w:eastAsia="仿宋"/>
          <w:sz w:val="28"/>
          <w:szCs w:val="28"/>
        </w:rPr>
        <w:t>1</w:t>
      </w:r>
      <w:r>
        <w:rPr>
          <w:rFonts w:hint="eastAsia" w:ascii="仿宋" w:hAnsi="仿宋" w:eastAsia="仿宋"/>
          <w:sz w:val="28"/>
          <w:szCs w:val="28"/>
        </w:rPr>
        <w:t>个月内，整理编辑出竞赛获奖选手的风采展示片和竞赛宣传片。</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2.在赛项结束</w:t>
      </w:r>
      <w:r>
        <w:rPr>
          <w:rFonts w:ascii="仿宋" w:hAnsi="仿宋" w:eastAsia="仿宋"/>
          <w:sz w:val="28"/>
          <w:szCs w:val="28"/>
        </w:rPr>
        <w:t>3</w:t>
      </w:r>
      <w:r>
        <w:rPr>
          <w:rFonts w:hint="eastAsia" w:ascii="仿宋" w:hAnsi="仿宋" w:eastAsia="仿宋"/>
          <w:sz w:val="28"/>
          <w:szCs w:val="28"/>
        </w:rPr>
        <w:t>个月内，完成编辑比赛样题、比赛考核评分案例等，促进教学方式、培养模式、评价方式的改革，全面提升舞蹈表演专业建设水平。</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3.在赛项结束半年内，完成比赛视频的编辑制作，推进教学资源开发。编辑比赛和专家点评音像记录，使之成为课堂教学真实、生动、共享性视频资源，为选拔和推出优秀舞蹈人才提供广阔的平台。</w:t>
      </w:r>
    </w:p>
    <w:p>
      <w:pPr>
        <w:spacing w:line="600" w:lineRule="exact"/>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EB704E"/>
    <w:rsid w:val="000363A1"/>
    <w:rsid w:val="00083130"/>
    <w:rsid w:val="000979AF"/>
    <w:rsid w:val="000A3793"/>
    <w:rsid w:val="000A3C5D"/>
    <w:rsid w:val="000B2715"/>
    <w:rsid w:val="000C4467"/>
    <w:rsid w:val="000D76E2"/>
    <w:rsid w:val="000E3BC1"/>
    <w:rsid w:val="0010144F"/>
    <w:rsid w:val="00106208"/>
    <w:rsid w:val="00106A85"/>
    <w:rsid w:val="001146C7"/>
    <w:rsid w:val="00117986"/>
    <w:rsid w:val="00122F17"/>
    <w:rsid w:val="001245EB"/>
    <w:rsid w:val="00141A61"/>
    <w:rsid w:val="001431D2"/>
    <w:rsid w:val="00180028"/>
    <w:rsid w:val="0018581B"/>
    <w:rsid w:val="00190E60"/>
    <w:rsid w:val="0019489D"/>
    <w:rsid w:val="001A49D6"/>
    <w:rsid w:val="001B2B99"/>
    <w:rsid w:val="001D63A4"/>
    <w:rsid w:val="001E02DE"/>
    <w:rsid w:val="002033DF"/>
    <w:rsid w:val="002036E2"/>
    <w:rsid w:val="00223163"/>
    <w:rsid w:val="00281C1E"/>
    <w:rsid w:val="00295C76"/>
    <w:rsid w:val="002A1941"/>
    <w:rsid w:val="002F5CAB"/>
    <w:rsid w:val="002F7947"/>
    <w:rsid w:val="0030054B"/>
    <w:rsid w:val="003127A2"/>
    <w:rsid w:val="00313143"/>
    <w:rsid w:val="00325C69"/>
    <w:rsid w:val="00333CBB"/>
    <w:rsid w:val="00376866"/>
    <w:rsid w:val="00381F84"/>
    <w:rsid w:val="003A0163"/>
    <w:rsid w:val="003D7BCC"/>
    <w:rsid w:val="003E7C3C"/>
    <w:rsid w:val="00406183"/>
    <w:rsid w:val="004350D9"/>
    <w:rsid w:val="00456479"/>
    <w:rsid w:val="00476E7D"/>
    <w:rsid w:val="00495924"/>
    <w:rsid w:val="004A5159"/>
    <w:rsid w:val="004A5D95"/>
    <w:rsid w:val="004A66E1"/>
    <w:rsid w:val="004A778A"/>
    <w:rsid w:val="004A7A57"/>
    <w:rsid w:val="004B7E8B"/>
    <w:rsid w:val="004E6A82"/>
    <w:rsid w:val="004F0298"/>
    <w:rsid w:val="004F4EF8"/>
    <w:rsid w:val="00516B01"/>
    <w:rsid w:val="0053610C"/>
    <w:rsid w:val="00572005"/>
    <w:rsid w:val="00577F51"/>
    <w:rsid w:val="005818AC"/>
    <w:rsid w:val="005918C6"/>
    <w:rsid w:val="005A54A5"/>
    <w:rsid w:val="005A658F"/>
    <w:rsid w:val="005E3CD0"/>
    <w:rsid w:val="005E6B0E"/>
    <w:rsid w:val="005F1691"/>
    <w:rsid w:val="005F6B3F"/>
    <w:rsid w:val="005F76D3"/>
    <w:rsid w:val="0065473E"/>
    <w:rsid w:val="006702C6"/>
    <w:rsid w:val="006759D0"/>
    <w:rsid w:val="00681959"/>
    <w:rsid w:val="00686B4F"/>
    <w:rsid w:val="006976D4"/>
    <w:rsid w:val="006B4782"/>
    <w:rsid w:val="00704B84"/>
    <w:rsid w:val="007148F9"/>
    <w:rsid w:val="00727BBF"/>
    <w:rsid w:val="0073677C"/>
    <w:rsid w:val="007452BA"/>
    <w:rsid w:val="007534D6"/>
    <w:rsid w:val="0078032F"/>
    <w:rsid w:val="00790AE4"/>
    <w:rsid w:val="00795866"/>
    <w:rsid w:val="007B4F33"/>
    <w:rsid w:val="007C67C8"/>
    <w:rsid w:val="007F08B1"/>
    <w:rsid w:val="007F4756"/>
    <w:rsid w:val="007F47B2"/>
    <w:rsid w:val="007F6A67"/>
    <w:rsid w:val="008046A3"/>
    <w:rsid w:val="00813C61"/>
    <w:rsid w:val="0083070C"/>
    <w:rsid w:val="008316A4"/>
    <w:rsid w:val="00833024"/>
    <w:rsid w:val="00834343"/>
    <w:rsid w:val="00864D30"/>
    <w:rsid w:val="00867BBE"/>
    <w:rsid w:val="00873BD5"/>
    <w:rsid w:val="008742EC"/>
    <w:rsid w:val="00875332"/>
    <w:rsid w:val="008861D7"/>
    <w:rsid w:val="00886BF4"/>
    <w:rsid w:val="00891041"/>
    <w:rsid w:val="008D1F88"/>
    <w:rsid w:val="008D6DAA"/>
    <w:rsid w:val="0091209E"/>
    <w:rsid w:val="00915E24"/>
    <w:rsid w:val="0092046A"/>
    <w:rsid w:val="0092664C"/>
    <w:rsid w:val="00927B00"/>
    <w:rsid w:val="009440CE"/>
    <w:rsid w:val="00952D8C"/>
    <w:rsid w:val="009557AE"/>
    <w:rsid w:val="00957C5E"/>
    <w:rsid w:val="00980852"/>
    <w:rsid w:val="00982D05"/>
    <w:rsid w:val="00994165"/>
    <w:rsid w:val="009A3C60"/>
    <w:rsid w:val="009B2141"/>
    <w:rsid w:val="009B469E"/>
    <w:rsid w:val="009C6483"/>
    <w:rsid w:val="009D317B"/>
    <w:rsid w:val="009E1296"/>
    <w:rsid w:val="00A0532D"/>
    <w:rsid w:val="00A069A1"/>
    <w:rsid w:val="00A17482"/>
    <w:rsid w:val="00A538C9"/>
    <w:rsid w:val="00A86D8C"/>
    <w:rsid w:val="00A87618"/>
    <w:rsid w:val="00AA6E65"/>
    <w:rsid w:val="00AC166A"/>
    <w:rsid w:val="00AC188D"/>
    <w:rsid w:val="00AC4F1D"/>
    <w:rsid w:val="00AC7D34"/>
    <w:rsid w:val="00AC7F1B"/>
    <w:rsid w:val="00AD0E80"/>
    <w:rsid w:val="00AD0EDA"/>
    <w:rsid w:val="00AE2E29"/>
    <w:rsid w:val="00B34559"/>
    <w:rsid w:val="00B41A83"/>
    <w:rsid w:val="00B53213"/>
    <w:rsid w:val="00B91356"/>
    <w:rsid w:val="00BA23A1"/>
    <w:rsid w:val="00BA5AAF"/>
    <w:rsid w:val="00BB18CF"/>
    <w:rsid w:val="00BB2544"/>
    <w:rsid w:val="00BC4E39"/>
    <w:rsid w:val="00BC6086"/>
    <w:rsid w:val="00C019DF"/>
    <w:rsid w:val="00C01F5A"/>
    <w:rsid w:val="00C14CBF"/>
    <w:rsid w:val="00C165B7"/>
    <w:rsid w:val="00C22C56"/>
    <w:rsid w:val="00C9266F"/>
    <w:rsid w:val="00CB36D4"/>
    <w:rsid w:val="00CB47E9"/>
    <w:rsid w:val="00CB5917"/>
    <w:rsid w:val="00CB6493"/>
    <w:rsid w:val="00CC5221"/>
    <w:rsid w:val="00CD0C24"/>
    <w:rsid w:val="00CD140D"/>
    <w:rsid w:val="00CF5EFE"/>
    <w:rsid w:val="00D1414F"/>
    <w:rsid w:val="00D20419"/>
    <w:rsid w:val="00D25F3B"/>
    <w:rsid w:val="00D31636"/>
    <w:rsid w:val="00D531BA"/>
    <w:rsid w:val="00D649A5"/>
    <w:rsid w:val="00D656A0"/>
    <w:rsid w:val="00D91E5C"/>
    <w:rsid w:val="00DA407B"/>
    <w:rsid w:val="00DA4F7E"/>
    <w:rsid w:val="00DB2513"/>
    <w:rsid w:val="00DB4A41"/>
    <w:rsid w:val="00DB4F91"/>
    <w:rsid w:val="00DC6BB8"/>
    <w:rsid w:val="00DE0AB0"/>
    <w:rsid w:val="00DE6BA0"/>
    <w:rsid w:val="00DF4E8E"/>
    <w:rsid w:val="00DF603F"/>
    <w:rsid w:val="00DF7533"/>
    <w:rsid w:val="00E03E9E"/>
    <w:rsid w:val="00E17301"/>
    <w:rsid w:val="00E23E3C"/>
    <w:rsid w:val="00E368E7"/>
    <w:rsid w:val="00E478F3"/>
    <w:rsid w:val="00E54196"/>
    <w:rsid w:val="00E644E7"/>
    <w:rsid w:val="00E64697"/>
    <w:rsid w:val="00E73773"/>
    <w:rsid w:val="00E812B8"/>
    <w:rsid w:val="00EB704E"/>
    <w:rsid w:val="00EC18A5"/>
    <w:rsid w:val="00EC46F4"/>
    <w:rsid w:val="00ED25DF"/>
    <w:rsid w:val="00ED6531"/>
    <w:rsid w:val="00EE3198"/>
    <w:rsid w:val="00EE3645"/>
    <w:rsid w:val="00EF4F22"/>
    <w:rsid w:val="00F05F1C"/>
    <w:rsid w:val="00F41C3A"/>
    <w:rsid w:val="00F44D17"/>
    <w:rsid w:val="00F4725E"/>
    <w:rsid w:val="00F576C3"/>
    <w:rsid w:val="00F57975"/>
    <w:rsid w:val="00F701A8"/>
    <w:rsid w:val="00FA3252"/>
    <w:rsid w:val="00FB0710"/>
    <w:rsid w:val="00FB4EAD"/>
    <w:rsid w:val="00FC2DBA"/>
    <w:rsid w:val="00FC4AD5"/>
    <w:rsid w:val="00FD3358"/>
    <w:rsid w:val="00FE2916"/>
    <w:rsid w:val="015F353A"/>
    <w:rsid w:val="02843F5F"/>
    <w:rsid w:val="05082F62"/>
    <w:rsid w:val="092613F0"/>
    <w:rsid w:val="098054D8"/>
    <w:rsid w:val="0A7E28F9"/>
    <w:rsid w:val="0AA344BB"/>
    <w:rsid w:val="0C2B6E5D"/>
    <w:rsid w:val="127A4CFD"/>
    <w:rsid w:val="16051A3A"/>
    <w:rsid w:val="17B900C2"/>
    <w:rsid w:val="190E05EB"/>
    <w:rsid w:val="1A313E65"/>
    <w:rsid w:val="1A4103CD"/>
    <w:rsid w:val="1AF95B71"/>
    <w:rsid w:val="1DB5575A"/>
    <w:rsid w:val="1F1D2496"/>
    <w:rsid w:val="1F745F7B"/>
    <w:rsid w:val="256A5AC4"/>
    <w:rsid w:val="26A31BF3"/>
    <w:rsid w:val="26E7685E"/>
    <w:rsid w:val="2789447D"/>
    <w:rsid w:val="2C314C5E"/>
    <w:rsid w:val="2CBD27EF"/>
    <w:rsid w:val="2D6D0F56"/>
    <w:rsid w:val="2DE608B0"/>
    <w:rsid w:val="30534581"/>
    <w:rsid w:val="31A02B70"/>
    <w:rsid w:val="323B6039"/>
    <w:rsid w:val="33685095"/>
    <w:rsid w:val="37137A5F"/>
    <w:rsid w:val="382D3BEC"/>
    <w:rsid w:val="388C5EB1"/>
    <w:rsid w:val="396616A7"/>
    <w:rsid w:val="3E0F6662"/>
    <w:rsid w:val="45A97F95"/>
    <w:rsid w:val="47383E2F"/>
    <w:rsid w:val="47A616FF"/>
    <w:rsid w:val="4C063DE5"/>
    <w:rsid w:val="4C827877"/>
    <w:rsid w:val="4C8603DC"/>
    <w:rsid w:val="4C887C9D"/>
    <w:rsid w:val="4CC30C88"/>
    <w:rsid w:val="4DC01CA8"/>
    <w:rsid w:val="4E6F70F0"/>
    <w:rsid w:val="4F2057AD"/>
    <w:rsid w:val="55274015"/>
    <w:rsid w:val="58355B1E"/>
    <w:rsid w:val="583D1F98"/>
    <w:rsid w:val="59285CCA"/>
    <w:rsid w:val="62B05D8F"/>
    <w:rsid w:val="648824E4"/>
    <w:rsid w:val="67321A41"/>
    <w:rsid w:val="689048FC"/>
    <w:rsid w:val="6C2457B7"/>
    <w:rsid w:val="6C831F96"/>
    <w:rsid w:val="6CF318DD"/>
    <w:rsid w:val="6D225A53"/>
    <w:rsid w:val="6EA92C64"/>
    <w:rsid w:val="70532F2B"/>
    <w:rsid w:val="71962B62"/>
    <w:rsid w:val="72507023"/>
    <w:rsid w:val="74245A84"/>
    <w:rsid w:val="7B053C03"/>
    <w:rsid w:val="7DCB3419"/>
    <w:rsid w:val="7E1613DA"/>
    <w:rsid w:val="7E8955E6"/>
    <w:rsid w:val="7FE861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99"/>
    <w:pPr>
      <w:keepNext/>
      <w:keepLines/>
      <w:spacing w:before="260" w:after="260" w:line="412" w:lineRule="auto"/>
      <w:outlineLvl w:val="2"/>
    </w:pPr>
    <w:rPr>
      <w:b/>
      <w:bCs/>
      <w:sz w:val="32"/>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99"/>
    <w:pPr>
      <w:jc w:val="left"/>
    </w:pPr>
    <w:rPr>
      <w:rFonts w:ascii="Calibri" w:hAnsi="Calibri"/>
      <w:kern w:val="0"/>
      <w:sz w:val="24"/>
      <w:szCs w:val="20"/>
    </w:rPr>
  </w:style>
  <w:style w:type="paragraph" w:styleId="4">
    <w:name w:val="Plain Text"/>
    <w:basedOn w:val="1"/>
    <w:link w:val="11"/>
    <w:qFormat/>
    <w:uiPriority w:val="99"/>
    <w:rPr>
      <w:rFonts w:ascii="宋体" w:hAnsi="Courier New"/>
      <w:szCs w:val="21"/>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3 Char"/>
    <w:basedOn w:val="7"/>
    <w:link w:val="2"/>
    <w:qFormat/>
    <w:locked/>
    <w:uiPriority w:val="99"/>
    <w:rPr>
      <w:rFonts w:ascii="Times New Roman" w:hAnsi="Times New Roman" w:eastAsia="宋体" w:cs="Times New Roman"/>
      <w:b/>
      <w:bCs/>
      <w:sz w:val="32"/>
      <w:szCs w:val="32"/>
    </w:rPr>
  </w:style>
  <w:style w:type="character" w:customStyle="1" w:styleId="11">
    <w:name w:val="纯文本 Char"/>
    <w:basedOn w:val="7"/>
    <w:link w:val="4"/>
    <w:semiHidden/>
    <w:locked/>
    <w:uiPriority w:val="99"/>
    <w:rPr>
      <w:rFonts w:ascii="宋体" w:hAnsi="Courier New" w:cs="Courier New"/>
      <w:sz w:val="21"/>
      <w:szCs w:val="21"/>
    </w:rPr>
  </w:style>
  <w:style w:type="character" w:customStyle="1" w:styleId="12">
    <w:name w:val="页脚 Char"/>
    <w:basedOn w:val="7"/>
    <w:link w:val="5"/>
    <w:locked/>
    <w:uiPriority w:val="99"/>
    <w:rPr>
      <w:rFonts w:cs="Times New Roman"/>
      <w:sz w:val="18"/>
      <w:szCs w:val="1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Comment Text Char"/>
    <w:qFormat/>
    <w:locked/>
    <w:uiPriority w:val="99"/>
    <w:rPr>
      <w:sz w:val="24"/>
    </w:rPr>
  </w:style>
  <w:style w:type="character" w:customStyle="1" w:styleId="15">
    <w:name w:val="Comment Text Char1"/>
    <w:basedOn w:val="7"/>
    <w:semiHidden/>
    <w:qFormat/>
    <w:locked/>
    <w:uiPriority w:val="99"/>
    <w:rPr>
      <w:rFonts w:ascii="Times New Roman" w:hAnsi="Times New Roman" w:cs="Times New Roman"/>
      <w:sz w:val="24"/>
      <w:szCs w:val="24"/>
    </w:rPr>
  </w:style>
  <w:style w:type="character" w:customStyle="1" w:styleId="16">
    <w:name w:val="批注文字 Char"/>
    <w:basedOn w:val="7"/>
    <w:link w:val="3"/>
    <w:semiHidden/>
    <w:qFormat/>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59287-E84D-41C9-8EC7-DEBDAD786F9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779</Words>
  <Characters>4442</Characters>
  <Lines>37</Lines>
  <Paragraphs>10</Paragraphs>
  <TotalTime>0</TotalTime>
  <ScaleCrop>false</ScaleCrop>
  <LinksUpToDate>false</LinksUpToDate>
  <CharactersWithSpaces>5211</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2017-08-08T03:27:00Z</dcterms:created>
  <dc:creator>Lenovo</dc:creator>
  <cp:lastModifiedBy>lenovo</cp:lastModifiedBy>
  <dcterms:modified xsi:type="dcterms:W3CDTF">2018-09-27T05:53:00Z</dcterms:modified>
  <dc:title>2017年度沈阳职业院校技能大赛</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